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3272A">
      <w:pPr>
        <w:spacing w:line="360" w:lineRule="auto"/>
        <w:jc w:val="both"/>
        <w:rPr>
          <w:rFonts w:hint="eastAsia"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附件</w:t>
      </w:r>
      <w:r>
        <w:rPr>
          <w:rFonts w:hint="eastAsia" w:ascii="黑体" w:hAnsi="黑体" w:eastAsia="黑体" w:cs="黑体"/>
          <w:b/>
          <w:bCs/>
          <w:color w:val="000000" w:themeColor="text1"/>
          <w:sz w:val="32"/>
          <w:szCs w:val="32"/>
          <w:lang w:val="en-US" w:eastAsia="zh-CN"/>
          <w14:textFill>
            <w14:solidFill>
              <w14:schemeClr w14:val="tx1"/>
            </w14:solidFill>
          </w14:textFill>
        </w:rPr>
        <w:t>3：</w:t>
      </w:r>
    </w:p>
    <w:p w14:paraId="4AC1BCF0">
      <w:pPr>
        <w:spacing w:line="360" w:lineRule="auto"/>
        <w:jc w:val="center"/>
        <w:rPr>
          <w:rFonts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4"/>
          <w:szCs w:val="44"/>
          <w14:textFill>
            <w14:solidFill>
              <w14:schemeClr w14:val="tx1"/>
            </w14:solidFill>
          </w14:textFill>
        </w:rPr>
        <w:t>皖江工学院《智能建造》微专业招生方案</w:t>
      </w:r>
    </w:p>
    <w:p w14:paraId="51D0141B">
      <w:pPr>
        <w:spacing w:line="360" w:lineRule="auto"/>
        <w:ind w:firstLine="643" w:firstLineChars="200"/>
        <w:jc w:val="left"/>
        <w:rPr>
          <w:rFonts w:ascii="宋体" w:hAnsi="宋体" w:eastAsia="宋体" w:cs="宋体"/>
          <w:b/>
          <w:bCs/>
          <w:color w:val="FF0000"/>
          <w:sz w:val="32"/>
          <w:szCs w:val="32"/>
        </w:rPr>
      </w:pPr>
      <w:r>
        <w:rPr>
          <w:rFonts w:hint="eastAsia" w:ascii="宋体" w:hAnsi="宋体" w:eastAsia="宋体" w:cs="宋体"/>
          <w:b/>
          <w:bCs/>
          <w:sz w:val="32"/>
          <w:szCs w:val="32"/>
        </w:rPr>
        <w:t>一、</w:t>
      </w:r>
      <w:r>
        <w:rPr>
          <w:rFonts w:hint="eastAsia" w:ascii="宋体" w:hAnsi="宋体" w:eastAsia="宋体" w:cs="宋体"/>
          <w:b/>
          <w:bCs/>
          <w:color w:val="000000" w:themeColor="text1"/>
          <w:sz w:val="32"/>
          <w:szCs w:val="32"/>
          <w14:textFill>
            <w14:solidFill>
              <w14:schemeClr w14:val="tx1"/>
            </w14:solidFill>
          </w14:textFill>
        </w:rPr>
        <w:t>微专业简介</w:t>
      </w:r>
    </w:p>
    <w:p w14:paraId="2E4F3898">
      <w:pPr>
        <w:spacing w:line="360" w:lineRule="auto"/>
        <w:ind w:firstLine="560" w:firstLineChars="200"/>
        <w:rPr>
          <w:rFonts w:ascii="宋体" w:hAnsi="宋体" w:eastAsia="宋体" w:cs="Segoe UI"/>
          <w:sz w:val="28"/>
          <w:szCs w:val="28"/>
          <w:shd w:val="clear" w:color="auto" w:fill="FFFFFF"/>
        </w:rPr>
      </w:pPr>
      <w:r>
        <w:rPr>
          <w:rFonts w:hint="eastAsia" w:ascii="宋体" w:hAnsi="宋体" w:eastAsia="宋体" w:cs="Segoe UI"/>
          <w:sz w:val="28"/>
          <w:szCs w:val="28"/>
          <w:shd w:val="clear" w:color="auto" w:fill="FFFFFF"/>
        </w:rPr>
        <w:t>智能建造微专业是面向建筑行业数字化转型需求，以土木工程专业为基础，结合人工智能和物联网等前沿技术，与电子信息及其自动化、机械设计制造及其自动化、人工智能等专业融合交叉，旨在培养信息技术与土木工程技术基本理论、基本知识、基本技能结合的复合型人才。</w:t>
      </w:r>
    </w:p>
    <w:p w14:paraId="164C4F14">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二、开设课程</w:t>
      </w:r>
    </w:p>
    <w:p w14:paraId="38086B36">
      <w:pPr>
        <w:spacing w:line="360" w:lineRule="auto"/>
        <w:ind w:firstLine="562" w:firstLineChars="200"/>
        <w:jc w:val="left"/>
        <w:rPr>
          <w:rFonts w:ascii="宋体" w:hAnsi="宋体" w:eastAsia="宋体" w:cs="宋体"/>
          <w:b/>
          <w:bCs/>
          <w:color w:val="FF0000"/>
          <w:sz w:val="28"/>
          <w:szCs w:val="28"/>
        </w:rPr>
      </w:pPr>
      <w:r>
        <w:rPr>
          <w:rFonts w:hint="eastAsia" w:ascii="宋体" w:hAnsi="宋体" w:eastAsia="宋体" w:cs="宋体"/>
          <w:b/>
          <w:bCs/>
          <w:color w:val="000000" w:themeColor="text1"/>
          <w:sz w:val="28"/>
          <w:szCs w:val="28"/>
          <w14:textFill>
            <w14:solidFill>
              <w14:schemeClr w14:val="tx1"/>
            </w14:solidFill>
          </w14:textFill>
        </w:rPr>
        <w:t>（一）开设课程计划一览表</w:t>
      </w:r>
    </w:p>
    <w:tbl>
      <w:tblPr>
        <w:tblStyle w:val="3"/>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575"/>
        <w:gridCol w:w="910"/>
        <w:gridCol w:w="650"/>
        <w:gridCol w:w="825"/>
        <w:gridCol w:w="795"/>
        <w:gridCol w:w="1365"/>
        <w:gridCol w:w="1410"/>
      </w:tblGrid>
      <w:tr w14:paraId="73FA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029" w:type="dxa"/>
            <w:vMerge w:val="restart"/>
            <w:vAlign w:val="center"/>
          </w:tcPr>
          <w:p w14:paraId="2A5D4AAD">
            <w:pPr>
              <w:autoSpaceDN w:val="0"/>
              <w:spacing w:line="300" w:lineRule="auto"/>
              <w:jc w:val="center"/>
              <w:textAlignment w:val="center"/>
              <w:rPr>
                <w:rFonts w:hAnsi="宋体"/>
                <w:b/>
                <w:bCs/>
              </w:rPr>
            </w:pPr>
            <w:r>
              <w:rPr>
                <w:rFonts w:hAnsi="宋体"/>
                <w:b/>
                <w:bCs/>
              </w:rPr>
              <w:t>课程名称</w:t>
            </w:r>
          </w:p>
        </w:tc>
        <w:tc>
          <w:tcPr>
            <w:tcW w:w="575" w:type="dxa"/>
            <w:vMerge w:val="restart"/>
            <w:vAlign w:val="center"/>
          </w:tcPr>
          <w:p w14:paraId="150DF50F">
            <w:pPr>
              <w:autoSpaceDN w:val="0"/>
              <w:spacing w:line="300" w:lineRule="auto"/>
              <w:jc w:val="center"/>
              <w:textAlignment w:val="center"/>
              <w:rPr>
                <w:b/>
                <w:bCs/>
              </w:rPr>
            </w:pPr>
            <w:r>
              <w:rPr>
                <w:rFonts w:hAnsi="宋体"/>
                <w:b/>
                <w:bCs/>
              </w:rPr>
              <w:t>学分</w:t>
            </w:r>
          </w:p>
        </w:tc>
        <w:tc>
          <w:tcPr>
            <w:tcW w:w="910" w:type="dxa"/>
            <w:vMerge w:val="restart"/>
            <w:vAlign w:val="center"/>
          </w:tcPr>
          <w:p w14:paraId="62DFD4FC">
            <w:pPr>
              <w:autoSpaceDN w:val="0"/>
              <w:spacing w:line="300" w:lineRule="auto"/>
              <w:jc w:val="center"/>
              <w:textAlignment w:val="center"/>
              <w:rPr>
                <w:b/>
                <w:bCs/>
              </w:rPr>
            </w:pPr>
            <w:r>
              <w:rPr>
                <w:rFonts w:hAnsi="宋体"/>
                <w:b/>
                <w:bCs/>
              </w:rPr>
              <w:t>学时</w:t>
            </w:r>
          </w:p>
        </w:tc>
        <w:tc>
          <w:tcPr>
            <w:tcW w:w="1475" w:type="dxa"/>
            <w:gridSpan w:val="2"/>
            <w:vAlign w:val="center"/>
          </w:tcPr>
          <w:p w14:paraId="0BA8B561">
            <w:pPr>
              <w:autoSpaceDN w:val="0"/>
              <w:spacing w:line="300" w:lineRule="auto"/>
              <w:jc w:val="center"/>
              <w:textAlignment w:val="center"/>
              <w:rPr>
                <w:rFonts w:hAnsi="宋体"/>
                <w:b/>
                <w:bCs/>
              </w:rPr>
            </w:pPr>
            <w:r>
              <w:rPr>
                <w:rFonts w:hAnsi="宋体"/>
                <w:b/>
                <w:bCs/>
              </w:rPr>
              <w:t>学时分配</w:t>
            </w:r>
          </w:p>
        </w:tc>
        <w:tc>
          <w:tcPr>
            <w:tcW w:w="795" w:type="dxa"/>
            <w:vMerge w:val="restart"/>
            <w:vAlign w:val="center"/>
          </w:tcPr>
          <w:p w14:paraId="18A4574F">
            <w:pPr>
              <w:autoSpaceDN w:val="0"/>
              <w:spacing w:line="300" w:lineRule="auto"/>
              <w:jc w:val="center"/>
              <w:textAlignment w:val="center"/>
              <w:rPr>
                <w:b/>
                <w:bCs/>
              </w:rPr>
            </w:pPr>
            <w:r>
              <w:rPr>
                <w:rFonts w:hAnsi="宋体"/>
                <w:b/>
                <w:bCs/>
              </w:rPr>
              <w:t>课外</w:t>
            </w:r>
          </w:p>
          <w:p w14:paraId="498ED63B">
            <w:pPr>
              <w:autoSpaceDN w:val="0"/>
              <w:spacing w:line="300" w:lineRule="auto"/>
              <w:jc w:val="center"/>
              <w:textAlignment w:val="center"/>
              <w:rPr>
                <w:b/>
                <w:bCs/>
              </w:rPr>
            </w:pPr>
            <w:r>
              <w:rPr>
                <w:rFonts w:hAnsi="宋体"/>
                <w:b/>
                <w:bCs/>
              </w:rPr>
              <w:t>实践</w:t>
            </w:r>
          </w:p>
        </w:tc>
        <w:tc>
          <w:tcPr>
            <w:tcW w:w="1365" w:type="dxa"/>
            <w:vMerge w:val="restart"/>
            <w:vAlign w:val="center"/>
          </w:tcPr>
          <w:p w14:paraId="43F93867">
            <w:pPr>
              <w:autoSpaceDN w:val="0"/>
              <w:spacing w:line="300" w:lineRule="auto"/>
              <w:jc w:val="center"/>
              <w:textAlignment w:val="center"/>
              <w:rPr>
                <w:b/>
                <w:bCs/>
              </w:rPr>
            </w:pPr>
            <w:r>
              <w:rPr>
                <w:rFonts w:hint="eastAsia" w:hAnsi="宋体"/>
                <w:b/>
                <w:bCs/>
              </w:rPr>
              <w:t>开课</w:t>
            </w:r>
            <w:r>
              <w:rPr>
                <w:rFonts w:hAnsi="宋体"/>
                <w:b/>
                <w:bCs/>
              </w:rPr>
              <w:t>学期</w:t>
            </w:r>
          </w:p>
        </w:tc>
        <w:tc>
          <w:tcPr>
            <w:tcW w:w="1410" w:type="dxa"/>
            <w:vMerge w:val="restart"/>
            <w:vAlign w:val="center"/>
          </w:tcPr>
          <w:p w14:paraId="39F4185D">
            <w:pPr>
              <w:autoSpaceDN w:val="0"/>
              <w:spacing w:line="300" w:lineRule="auto"/>
              <w:jc w:val="center"/>
              <w:textAlignment w:val="center"/>
              <w:rPr>
                <w:b/>
                <w:bCs/>
              </w:rPr>
            </w:pPr>
            <w:r>
              <w:rPr>
                <w:rFonts w:hAnsi="宋体"/>
                <w:b/>
                <w:bCs/>
              </w:rPr>
              <w:t>考核</w:t>
            </w:r>
          </w:p>
          <w:p w14:paraId="3F11088A">
            <w:pPr>
              <w:autoSpaceDN w:val="0"/>
              <w:spacing w:line="300" w:lineRule="auto"/>
              <w:jc w:val="center"/>
              <w:textAlignment w:val="center"/>
              <w:rPr>
                <w:b/>
                <w:bCs/>
              </w:rPr>
            </w:pPr>
            <w:r>
              <w:rPr>
                <w:rFonts w:hAnsi="宋体"/>
                <w:b/>
                <w:bCs/>
              </w:rPr>
              <w:t>方式</w:t>
            </w:r>
          </w:p>
        </w:tc>
      </w:tr>
      <w:tr w14:paraId="74C2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Merge w:val="continue"/>
            <w:vAlign w:val="center"/>
          </w:tcPr>
          <w:p w14:paraId="0A0296A0">
            <w:pPr>
              <w:autoSpaceDN w:val="0"/>
              <w:spacing w:line="300" w:lineRule="auto"/>
              <w:jc w:val="center"/>
              <w:textAlignment w:val="center"/>
              <w:rPr>
                <w:rFonts w:hAnsi="宋体"/>
                <w:b/>
                <w:bCs/>
              </w:rPr>
            </w:pPr>
          </w:p>
        </w:tc>
        <w:tc>
          <w:tcPr>
            <w:tcW w:w="575" w:type="dxa"/>
            <w:vMerge w:val="continue"/>
            <w:vAlign w:val="center"/>
          </w:tcPr>
          <w:p w14:paraId="25348B81">
            <w:pPr>
              <w:autoSpaceDN w:val="0"/>
              <w:spacing w:line="300" w:lineRule="auto"/>
              <w:jc w:val="center"/>
              <w:textAlignment w:val="center"/>
              <w:rPr>
                <w:rFonts w:hAnsi="宋体"/>
                <w:b/>
                <w:bCs/>
              </w:rPr>
            </w:pPr>
          </w:p>
        </w:tc>
        <w:tc>
          <w:tcPr>
            <w:tcW w:w="910" w:type="dxa"/>
            <w:vMerge w:val="continue"/>
            <w:vAlign w:val="center"/>
          </w:tcPr>
          <w:p w14:paraId="20293D25">
            <w:pPr>
              <w:autoSpaceDN w:val="0"/>
              <w:spacing w:line="300" w:lineRule="auto"/>
              <w:jc w:val="center"/>
              <w:textAlignment w:val="center"/>
              <w:rPr>
                <w:rFonts w:hAnsi="宋体"/>
                <w:b/>
                <w:bCs/>
              </w:rPr>
            </w:pPr>
          </w:p>
        </w:tc>
        <w:tc>
          <w:tcPr>
            <w:tcW w:w="650" w:type="dxa"/>
            <w:vAlign w:val="center"/>
          </w:tcPr>
          <w:p w14:paraId="3AF06BA4">
            <w:pPr>
              <w:autoSpaceDN w:val="0"/>
              <w:spacing w:line="300" w:lineRule="auto"/>
              <w:jc w:val="center"/>
              <w:textAlignment w:val="center"/>
              <w:rPr>
                <w:b/>
                <w:bCs/>
              </w:rPr>
            </w:pPr>
            <w:r>
              <w:rPr>
                <w:rFonts w:hAnsi="宋体"/>
                <w:b/>
                <w:bCs/>
              </w:rPr>
              <w:t>讲授</w:t>
            </w:r>
          </w:p>
        </w:tc>
        <w:tc>
          <w:tcPr>
            <w:tcW w:w="825" w:type="dxa"/>
            <w:vAlign w:val="center"/>
          </w:tcPr>
          <w:p w14:paraId="15AF79E5">
            <w:pPr>
              <w:autoSpaceDN w:val="0"/>
              <w:spacing w:line="300" w:lineRule="auto"/>
              <w:jc w:val="center"/>
              <w:textAlignment w:val="center"/>
              <w:rPr>
                <w:b/>
                <w:bCs/>
              </w:rPr>
            </w:pPr>
            <w:r>
              <w:rPr>
                <w:rFonts w:hAnsi="宋体"/>
                <w:b/>
                <w:bCs/>
              </w:rPr>
              <w:t>实践</w:t>
            </w:r>
          </w:p>
        </w:tc>
        <w:tc>
          <w:tcPr>
            <w:tcW w:w="795" w:type="dxa"/>
            <w:vMerge w:val="continue"/>
            <w:vAlign w:val="center"/>
          </w:tcPr>
          <w:p w14:paraId="6052E5DD">
            <w:pPr>
              <w:autoSpaceDN w:val="0"/>
              <w:spacing w:line="300" w:lineRule="auto"/>
              <w:jc w:val="center"/>
              <w:textAlignment w:val="center"/>
              <w:rPr>
                <w:rFonts w:hAnsi="宋体"/>
                <w:b/>
                <w:bCs/>
              </w:rPr>
            </w:pPr>
          </w:p>
        </w:tc>
        <w:tc>
          <w:tcPr>
            <w:tcW w:w="1365" w:type="dxa"/>
            <w:vMerge w:val="continue"/>
            <w:vAlign w:val="center"/>
          </w:tcPr>
          <w:p w14:paraId="503B9467">
            <w:pPr>
              <w:autoSpaceDN w:val="0"/>
              <w:spacing w:line="300" w:lineRule="auto"/>
              <w:jc w:val="center"/>
              <w:textAlignment w:val="center"/>
              <w:rPr>
                <w:b/>
                <w:bCs/>
              </w:rPr>
            </w:pPr>
          </w:p>
        </w:tc>
        <w:tc>
          <w:tcPr>
            <w:tcW w:w="1410" w:type="dxa"/>
            <w:vMerge w:val="continue"/>
            <w:vAlign w:val="center"/>
          </w:tcPr>
          <w:p w14:paraId="4C349443">
            <w:pPr>
              <w:autoSpaceDN w:val="0"/>
              <w:spacing w:line="300" w:lineRule="auto"/>
              <w:jc w:val="center"/>
              <w:textAlignment w:val="center"/>
              <w:rPr>
                <w:b/>
                <w:bCs/>
              </w:rPr>
            </w:pPr>
          </w:p>
        </w:tc>
      </w:tr>
      <w:tr w14:paraId="1114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2CB0282A">
            <w:pPr>
              <w:snapToGrid w:val="0"/>
              <w:jc w:val="left"/>
              <w:rPr>
                <w:sz w:val="20"/>
                <w:szCs w:val="20"/>
              </w:rPr>
            </w:pPr>
            <w:r>
              <w:rPr>
                <w:rFonts w:ascii="宋体" w:hAnsi="宋体" w:eastAsia="宋体" w:cs="Segoe UI"/>
                <w:kern w:val="0"/>
                <w:sz w:val="24"/>
              </w:rPr>
              <w:t>智能建造导论</w:t>
            </w:r>
          </w:p>
        </w:tc>
        <w:tc>
          <w:tcPr>
            <w:tcW w:w="575" w:type="dxa"/>
            <w:shd w:val="clear" w:color="auto" w:fill="auto"/>
            <w:vAlign w:val="center"/>
          </w:tcPr>
          <w:p w14:paraId="076687A0">
            <w:pPr>
              <w:snapToGrid w:val="0"/>
              <w:jc w:val="center"/>
              <w:rPr>
                <w:sz w:val="20"/>
                <w:szCs w:val="20"/>
              </w:rPr>
            </w:pPr>
            <w:r>
              <w:rPr>
                <w:rFonts w:hint="eastAsia"/>
                <w:sz w:val="20"/>
                <w:szCs w:val="20"/>
              </w:rPr>
              <w:t>1</w:t>
            </w:r>
          </w:p>
        </w:tc>
        <w:tc>
          <w:tcPr>
            <w:tcW w:w="910" w:type="dxa"/>
            <w:shd w:val="clear" w:color="auto" w:fill="auto"/>
            <w:vAlign w:val="center"/>
          </w:tcPr>
          <w:p w14:paraId="7E395183">
            <w:pPr>
              <w:snapToGrid w:val="0"/>
              <w:jc w:val="center"/>
              <w:rPr>
                <w:sz w:val="20"/>
                <w:szCs w:val="20"/>
              </w:rPr>
            </w:pPr>
            <w:r>
              <w:rPr>
                <w:rFonts w:hint="eastAsia"/>
                <w:sz w:val="20"/>
                <w:szCs w:val="20"/>
              </w:rPr>
              <w:t>16</w:t>
            </w:r>
          </w:p>
        </w:tc>
        <w:tc>
          <w:tcPr>
            <w:tcW w:w="650" w:type="dxa"/>
            <w:vAlign w:val="center"/>
          </w:tcPr>
          <w:p w14:paraId="042ED087">
            <w:pPr>
              <w:autoSpaceDN w:val="0"/>
              <w:spacing w:line="300" w:lineRule="auto"/>
              <w:jc w:val="center"/>
              <w:textAlignment w:val="center"/>
              <w:rPr>
                <w:rFonts w:hAnsi="宋体" w:eastAsia="宋体"/>
              </w:rPr>
            </w:pPr>
            <w:r>
              <w:rPr>
                <w:rFonts w:hint="eastAsia" w:hAnsi="宋体" w:eastAsia="宋体"/>
              </w:rPr>
              <w:t>16</w:t>
            </w:r>
          </w:p>
        </w:tc>
        <w:tc>
          <w:tcPr>
            <w:tcW w:w="825" w:type="dxa"/>
            <w:vAlign w:val="center"/>
          </w:tcPr>
          <w:p w14:paraId="5A9FCC26">
            <w:pPr>
              <w:autoSpaceDN w:val="0"/>
              <w:spacing w:line="300" w:lineRule="auto"/>
              <w:jc w:val="center"/>
              <w:textAlignment w:val="center"/>
              <w:rPr>
                <w:rFonts w:hAnsi="宋体" w:eastAsia="宋体"/>
              </w:rPr>
            </w:pPr>
          </w:p>
        </w:tc>
        <w:tc>
          <w:tcPr>
            <w:tcW w:w="795" w:type="dxa"/>
            <w:vAlign w:val="center"/>
          </w:tcPr>
          <w:p w14:paraId="181BBF47">
            <w:pPr>
              <w:autoSpaceDN w:val="0"/>
              <w:spacing w:line="300" w:lineRule="auto"/>
              <w:jc w:val="center"/>
              <w:textAlignment w:val="center"/>
              <w:rPr>
                <w:rFonts w:hAnsi="宋体"/>
              </w:rPr>
            </w:pPr>
            <w:r>
              <w:rPr>
                <w:rFonts w:hint="eastAsia" w:hAnsi="宋体"/>
              </w:rPr>
              <w:t>4</w:t>
            </w:r>
          </w:p>
        </w:tc>
        <w:tc>
          <w:tcPr>
            <w:tcW w:w="1365" w:type="dxa"/>
            <w:vAlign w:val="center"/>
          </w:tcPr>
          <w:p w14:paraId="1FA5A511">
            <w:pPr>
              <w:autoSpaceDN w:val="0"/>
              <w:spacing w:line="300" w:lineRule="auto"/>
              <w:jc w:val="center"/>
              <w:textAlignment w:val="center"/>
              <w:rPr>
                <w:rFonts w:hint="default" w:eastAsiaTheme="minorEastAsia"/>
                <w:lang w:val="en-US" w:eastAsia="zh-CN"/>
              </w:rPr>
            </w:pPr>
            <w:r>
              <w:rPr>
                <w:rFonts w:hint="eastAsia"/>
                <w:lang w:val="en-US" w:eastAsia="zh-CN"/>
              </w:rPr>
              <w:t>春学期</w:t>
            </w:r>
          </w:p>
        </w:tc>
        <w:tc>
          <w:tcPr>
            <w:tcW w:w="1410" w:type="dxa"/>
            <w:vAlign w:val="center"/>
          </w:tcPr>
          <w:p w14:paraId="1ACF2EE8">
            <w:pPr>
              <w:autoSpaceDN w:val="0"/>
              <w:spacing w:line="300" w:lineRule="auto"/>
              <w:jc w:val="center"/>
              <w:textAlignment w:val="center"/>
            </w:pPr>
            <w:r>
              <w:rPr>
                <w:rFonts w:hint="eastAsia"/>
              </w:rPr>
              <w:t>考查</w:t>
            </w:r>
          </w:p>
        </w:tc>
      </w:tr>
      <w:tr w14:paraId="2155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4EEFD8B1">
            <w:pPr>
              <w:snapToGrid w:val="0"/>
              <w:jc w:val="left"/>
              <w:rPr>
                <w:rFonts w:eastAsia="宋体"/>
                <w:sz w:val="20"/>
                <w:szCs w:val="20"/>
              </w:rPr>
            </w:pPr>
            <w:r>
              <w:rPr>
                <w:rFonts w:hint="eastAsia" w:ascii="宋体" w:hAnsi="宋体" w:eastAsia="宋体" w:cs="Segoe UI"/>
                <w:kern w:val="0"/>
                <w:sz w:val="24"/>
              </w:rPr>
              <w:t>物联网技术</w:t>
            </w:r>
          </w:p>
        </w:tc>
        <w:tc>
          <w:tcPr>
            <w:tcW w:w="575" w:type="dxa"/>
            <w:shd w:val="clear" w:color="auto" w:fill="auto"/>
            <w:vAlign w:val="center"/>
          </w:tcPr>
          <w:p w14:paraId="395ABC9A">
            <w:pPr>
              <w:snapToGrid w:val="0"/>
              <w:jc w:val="center"/>
              <w:rPr>
                <w:rFonts w:eastAsia="方正仿宋_GBK"/>
                <w:sz w:val="20"/>
                <w:szCs w:val="20"/>
              </w:rPr>
            </w:pPr>
            <w:r>
              <w:rPr>
                <w:rFonts w:hint="eastAsia"/>
                <w:sz w:val="20"/>
                <w:szCs w:val="20"/>
              </w:rPr>
              <w:t>1</w:t>
            </w:r>
          </w:p>
        </w:tc>
        <w:tc>
          <w:tcPr>
            <w:tcW w:w="910" w:type="dxa"/>
            <w:shd w:val="clear" w:color="auto" w:fill="auto"/>
            <w:vAlign w:val="center"/>
          </w:tcPr>
          <w:p w14:paraId="492F0D4A">
            <w:pPr>
              <w:snapToGrid w:val="0"/>
              <w:jc w:val="center"/>
              <w:rPr>
                <w:rFonts w:eastAsia="方正仿宋_GBK"/>
                <w:sz w:val="20"/>
                <w:szCs w:val="20"/>
              </w:rPr>
            </w:pPr>
            <w:r>
              <w:rPr>
                <w:rFonts w:hint="eastAsia"/>
                <w:sz w:val="20"/>
                <w:szCs w:val="20"/>
              </w:rPr>
              <w:t>16</w:t>
            </w:r>
          </w:p>
        </w:tc>
        <w:tc>
          <w:tcPr>
            <w:tcW w:w="650" w:type="dxa"/>
            <w:vAlign w:val="center"/>
          </w:tcPr>
          <w:p w14:paraId="449E2094">
            <w:pPr>
              <w:autoSpaceDN w:val="0"/>
              <w:spacing w:line="300" w:lineRule="auto"/>
              <w:jc w:val="center"/>
              <w:textAlignment w:val="center"/>
              <w:rPr>
                <w:rFonts w:hAnsi="宋体" w:eastAsia="宋体"/>
              </w:rPr>
            </w:pPr>
            <w:r>
              <w:rPr>
                <w:rFonts w:hint="eastAsia" w:hAnsi="宋体" w:eastAsia="宋体"/>
              </w:rPr>
              <w:t>16</w:t>
            </w:r>
          </w:p>
        </w:tc>
        <w:tc>
          <w:tcPr>
            <w:tcW w:w="825" w:type="dxa"/>
            <w:vAlign w:val="center"/>
          </w:tcPr>
          <w:p w14:paraId="0727BA9B">
            <w:pPr>
              <w:autoSpaceDN w:val="0"/>
              <w:spacing w:line="300" w:lineRule="auto"/>
              <w:jc w:val="center"/>
              <w:textAlignment w:val="center"/>
              <w:rPr>
                <w:rFonts w:hAnsi="宋体" w:eastAsia="宋体"/>
              </w:rPr>
            </w:pPr>
          </w:p>
        </w:tc>
        <w:tc>
          <w:tcPr>
            <w:tcW w:w="795" w:type="dxa"/>
            <w:vAlign w:val="center"/>
          </w:tcPr>
          <w:p w14:paraId="69DAE349">
            <w:pPr>
              <w:autoSpaceDN w:val="0"/>
              <w:spacing w:line="300" w:lineRule="auto"/>
              <w:jc w:val="center"/>
              <w:textAlignment w:val="center"/>
              <w:rPr>
                <w:rFonts w:hAnsi="宋体"/>
              </w:rPr>
            </w:pPr>
          </w:p>
        </w:tc>
        <w:tc>
          <w:tcPr>
            <w:tcW w:w="1365" w:type="dxa"/>
            <w:vAlign w:val="center"/>
          </w:tcPr>
          <w:p w14:paraId="181BA81E">
            <w:pPr>
              <w:autoSpaceDN w:val="0"/>
              <w:spacing w:line="300" w:lineRule="auto"/>
              <w:jc w:val="center"/>
              <w:textAlignment w:val="center"/>
              <w:rPr>
                <w:rFonts w:hint="eastAsia" w:eastAsiaTheme="minorEastAsia"/>
                <w:lang w:eastAsia="zh-CN"/>
              </w:rPr>
            </w:pPr>
            <w:r>
              <w:rPr>
                <w:rFonts w:hint="eastAsia"/>
                <w:lang w:val="en-US" w:eastAsia="zh-CN"/>
              </w:rPr>
              <w:t>春学期</w:t>
            </w:r>
          </w:p>
        </w:tc>
        <w:tc>
          <w:tcPr>
            <w:tcW w:w="1410" w:type="dxa"/>
            <w:vAlign w:val="center"/>
          </w:tcPr>
          <w:p w14:paraId="42238C34">
            <w:pPr>
              <w:autoSpaceDN w:val="0"/>
              <w:spacing w:line="300" w:lineRule="auto"/>
              <w:jc w:val="center"/>
              <w:textAlignment w:val="center"/>
            </w:pPr>
            <w:r>
              <w:rPr>
                <w:rFonts w:hint="eastAsia"/>
              </w:rPr>
              <w:t>考查</w:t>
            </w:r>
          </w:p>
        </w:tc>
      </w:tr>
      <w:tr w14:paraId="5889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379A6BCB">
            <w:pPr>
              <w:snapToGrid w:val="0"/>
              <w:jc w:val="left"/>
              <w:rPr>
                <w:rFonts w:ascii="宋体" w:hAnsi="宋体" w:eastAsia="宋体" w:cs="Times New Roman"/>
                <w:sz w:val="24"/>
              </w:rPr>
            </w:pPr>
            <w:r>
              <w:rPr>
                <w:rFonts w:hint="eastAsia" w:ascii="宋体" w:hAnsi="宋体" w:eastAsia="宋体" w:cs="Times New Roman"/>
                <w:sz w:val="24"/>
              </w:rPr>
              <w:t>工程智慧施工</w:t>
            </w:r>
          </w:p>
        </w:tc>
        <w:tc>
          <w:tcPr>
            <w:tcW w:w="575" w:type="dxa"/>
            <w:shd w:val="clear" w:color="auto" w:fill="auto"/>
            <w:vAlign w:val="center"/>
          </w:tcPr>
          <w:p w14:paraId="3321CC81">
            <w:pPr>
              <w:snapToGrid w:val="0"/>
              <w:jc w:val="center"/>
              <w:rPr>
                <w:rFonts w:ascii="Times New Roman" w:hAnsi="Times New Roman" w:eastAsia="方正仿宋_GBK" w:cs="Times New Roman"/>
                <w:sz w:val="20"/>
                <w:szCs w:val="20"/>
              </w:rPr>
            </w:pPr>
            <w:r>
              <w:rPr>
                <w:rFonts w:hint="eastAsia" w:cs="Times New Roman"/>
                <w:sz w:val="20"/>
                <w:szCs w:val="20"/>
              </w:rPr>
              <w:t>3</w:t>
            </w:r>
          </w:p>
        </w:tc>
        <w:tc>
          <w:tcPr>
            <w:tcW w:w="910" w:type="dxa"/>
            <w:shd w:val="clear" w:color="auto" w:fill="auto"/>
            <w:vAlign w:val="center"/>
          </w:tcPr>
          <w:p w14:paraId="4EFB6B25">
            <w:pPr>
              <w:snapToGrid w:val="0"/>
              <w:jc w:val="center"/>
              <w:rPr>
                <w:rFonts w:ascii="Times New Roman" w:hAnsi="Times New Roman" w:eastAsia="方正仿宋_GBK" w:cs="Times New Roman"/>
                <w:sz w:val="20"/>
                <w:szCs w:val="20"/>
              </w:rPr>
            </w:pPr>
            <w:r>
              <w:rPr>
                <w:rFonts w:hint="eastAsia"/>
                <w:sz w:val="20"/>
                <w:szCs w:val="20"/>
              </w:rPr>
              <w:t>48</w:t>
            </w:r>
          </w:p>
        </w:tc>
        <w:tc>
          <w:tcPr>
            <w:tcW w:w="650" w:type="dxa"/>
            <w:vAlign w:val="center"/>
          </w:tcPr>
          <w:p w14:paraId="0404343C">
            <w:pPr>
              <w:autoSpaceDN w:val="0"/>
              <w:spacing w:line="300" w:lineRule="auto"/>
              <w:jc w:val="center"/>
              <w:textAlignment w:val="center"/>
              <w:rPr>
                <w:rFonts w:hAnsi="宋体" w:eastAsia="宋体"/>
              </w:rPr>
            </w:pPr>
            <w:r>
              <w:rPr>
                <w:rFonts w:hint="eastAsia" w:hAnsi="宋体" w:eastAsia="宋体"/>
              </w:rPr>
              <w:t>32</w:t>
            </w:r>
          </w:p>
        </w:tc>
        <w:tc>
          <w:tcPr>
            <w:tcW w:w="825" w:type="dxa"/>
            <w:vAlign w:val="center"/>
          </w:tcPr>
          <w:p w14:paraId="0991B45F">
            <w:pPr>
              <w:autoSpaceDN w:val="0"/>
              <w:spacing w:line="300" w:lineRule="auto"/>
              <w:jc w:val="center"/>
              <w:textAlignment w:val="center"/>
              <w:rPr>
                <w:rFonts w:hAnsi="宋体" w:eastAsia="宋体"/>
              </w:rPr>
            </w:pPr>
          </w:p>
        </w:tc>
        <w:tc>
          <w:tcPr>
            <w:tcW w:w="795" w:type="dxa"/>
            <w:vAlign w:val="center"/>
          </w:tcPr>
          <w:p w14:paraId="0C90873A">
            <w:pPr>
              <w:autoSpaceDN w:val="0"/>
              <w:spacing w:line="300" w:lineRule="auto"/>
              <w:jc w:val="center"/>
              <w:textAlignment w:val="center"/>
              <w:rPr>
                <w:rFonts w:hAnsi="宋体"/>
              </w:rPr>
            </w:pPr>
            <w:r>
              <w:rPr>
                <w:rFonts w:hint="eastAsia" w:hAnsi="宋体"/>
              </w:rPr>
              <w:t>16</w:t>
            </w:r>
          </w:p>
        </w:tc>
        <w:tc>
          <w:tcPr>
            <w:tcW w:w="1365" w:type="dxa"/>
            <w:vAlign w:val="center"/>
          </w:tcPr>
          <w:p w14:paraId="2C85A703">
            <w:pPr>
              <w:autoSpaceDN w:val="0"/>
              <w:spacing w:line="300" w:lineRule="auto"/>
              <w:jc w:val="center"/>
              <w:textAlignment w:val="center"/>
              <w:rPr>
                <w:rFonts w:hint="eastAsia" w:eastAsiaTheme="minorEastAsia"/>
                <w:lang w:eastAsia="zh-CN"/>
              </w:rPr>
            </w:pPr>
            <w:r>
              <w:rPr>
                <w:rFonts w:hint="eastAsia"/>
                <w:lang w:val="en-US" w:eastAsia="zh-CN"/>
              </w:rPr>
              <w:t>春学期</w:t>
            </w:r>
          </w:p>
        </w:tc>
        <w:tc>
          <w:tcPr>
            <w:tcW w:w="1410" w:type="dxa"/>
            <w:vAlign w:val="center"/>
          </w:tcPr>
          <w:p w14:paraId="044AF75D">
            <w:pPr>
              <w:autoSpaceDN w:val="0"/>
              <w:spacing w:line="300" w:lineRule="auto"/>
              <w:jc w:val="center"/>
              <w:textAlignment w:val="center"/>
            </w:pPr>
            <w:r>
              <w:rPr>
                <w:rFonts w:hint="eastAsia"/>
              </w:rPr>
              <w:t>考查</w:t>
            </w:r>
          </w:p>
        </w:tc>
      </w:tr>
      <w:tr w14:paraId="288C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0B9DD545">
            <w:pPr>
              <w:snapToGrid w:val="0"/>
              <w:jc w:val="left"/>
              <w:rPr>
                <w:rFonts w:ascii="Times New Roman" w:hAnsi="Times New Roman" w:eastAsia="方正仿宋_GBK" w:cs="Times New Roman"/>
                <w:sz w:val="20"/>
                <w:szCs w:val="20"/>
              </w:rPr>
            </w:pPr>
            <w:r>
              <w:rPr>
                <w:rFonts w:hint="eastAsia" w:ascii="宋体" w:hAnsi="宋体" w:eastAsia="宋体" w:cs="Segoe UI"/>
                <w:kern w:val="0"/>
                <w:sz w:val="24"/>
              </w:rPr>
              <w:t>施工</w:t>
            </w:r>
            <w:r>
              <w:rPr>
                <w:rFonts w:ascii="宋体" w:hAnsi="宋体" w:eastAsia="宋体" w:cs="Segoe UI"/>
                <w:kern w:val="0"/>
                <w:sz w:val="24"/>
              </w:rPr>
              <w:t>机械与机器人</w:t>
            </w:r>
          </w:p>
        </w:tc>
        <w:tc>
          <w:tcPr>
            <w:tcW w:w="575" w:type="dxa"/>
            <w:shd w:val="clear" w:color="auto" w:fill="auto"/>
            <w:vAlign w:val="center"/>
          </w:tcPr>
          <w:p w14:paraId="154BD25C">
            <w:pPr>
              <w:snapToGrid w:val="0"/>
              <w:jc w:val="center"/>
              <w:rPr>
                <w:rFonts w:ascii="Times New Roman" w:hAnsi="Times New Roman" w:eastAsia="方正仿宋_GBK" w:cs="Times New Roman"/>
                <w:sz w:val="20"/>
                <w:szCs w:val="20"/>
              </w:rPr>
            </w:pPr>
            <w:r>
              <w:rPr>
                <w:rFonts w:hint="eastAsia"/>
                <w:sz w:val="20"/>
                <w:szCs w:val="20"/>
              </w:rPr>
              <w:t>2</w:t>
            </w:r>
          </w:p>
        </w:tc>
        <w:tc>
          <w:tcPr>
            <w:tcW w:w="910" w:type="dxa"/>
            <w:shd w:val="clear" w:color="auto" w:fill="auto"/>
            <w:vAlign w:val="center"/>
          </w:tcPr>
          <w:p w14:paraId="1FD58876">
            <w:pPr>
              <w:snapToGrid w:val="0"/>
              <w:jc w:val="center"/>
              <w:rPr>
                <w:rFonts w:ascii="Times New Roman" w:hAnsi="Times New Roman" w:eastAsia="方正仿宋_GBK" w:cs="Times New Roman"/>
                <w:sz w:val="20"/>
                <w:szCs w:val="20"/>
              </w:rPr>
            </w:pPr>
            <w:r>
              <w:rPr>
                <w:rFonts w:hint="eastAsia"/>
                <w:sz w:val="20"/>
                <w:szCs w:val="20"/>
              </w:rPr>
              <w:t>3</w:t>
            </w:r>
            <w:r>
              <w:rPr>
                <w:sz w:val="20"/>
                <w:szCs w:val="20"/>
              </w:rPr>
              <w:t>2</w:t>
            </w:r>
          </w:p>
        </w:tc>
        <w:tc>
          <w:tcPr>
            <w:tcW w:w="650" w:type="dxa"/>
            <w:vAlign w:val="center"/>
          </w:tcPr>
          <w:p w14:paraId="7AB03135">
            <w:pPr>
              <w:autoSpaceDN w:val="0"/>
              <w:spacing w:line="300" w:lineRule="auto"/>
              <w:jc w:val="center"/>
              <w:textAlignment w:val="center"/>
              <w:rPr>
                <w:rFonts w:hAnsi="宋体" w:eastAsia="宋体"/>
              </w:rPr>
            </w:pPr>
            <w:r>
              <w:rPr>
                <w:rFonts w:hint="eastAsia" w:hAnsi="宋体" w:eastAsia="宋体"/>
              </w:rPr>
              <w:t>28</w:t>
            </w:r>
          </w:p>
        </w:tc>
        <w:tc>
          <w:tcPr>
            <w:tcW w:w="825" w:type="dxa"/>
            <w:vAlign w:val="center"/>
          </w:tcPr>
          <w:p w14:paraId="63C16B8B">
            <w:pPr>
              <w:autoSpaceDN w:val="0"/>
              <w:spacing w:line="300" w:lineRule="auto"/>
              <w:jc w:val="center"/>
              <w:textAlignment w:val="center"/>
              <w:rPr>
                <w:rFonts w:hAnsi="宋体" w:eastAsia="宋体"/>
              </w:rPr>
            </w:pPr>
          </w:p>
        </w:tc>
        <w:tc>
          <w:tcPr>
            <w:tcW w:w="795" w:type="dxa"/>
            <w:vAlign w:val="center"/>
          </w:tcPr>
          <w:p w14:paraId="2C5207D6">
            <w:pPr>
              <w:autoSpaceDN w:val="0"/>
              <w:spacing w:line="300" w:lineRule="auto"/>
              <w:jc w:val="center"/>
              <w:textAlignment w:val="center"/>
              <w:rPr>
                <w:rFonts w:hAnsi="宋体"/>
              </w:rPr>
            </w:pPr>
            <w:r>
              <w:rPr>
                <w:rFonts w:hint="eastAsia" w:hAnsi="宋体"/>
              </w:rPr>
              <w:t>4</w:t>
            </w:r>
          </w:p>
        </w:tc>
        <w:tc>
          <w:tcPr>
            <w:tcW w:w="1365" w:type="dxa"/>
            <w:vAlign w:val="center"/>
          </w:tcPr>
          <w:p w14:paraId="29BF9B90">
            <w:pPr>
              <w:autoSpaceDN w:val="0"/>
              <w:spacing w:line="300" w:lineRule="auto"/>
              <w:jc w:val="center"/>
              <w:textAlignment w:val="center"/>
              <w:rPr>
                <w:rFonts w:hint="eastAsia" w:eastAsiaTheme="minorEastAsia"/>
                <w:lang w:eastAsia="zh-CN"/>
              </w:rPr>
            </w:pPr>
            <w:r>
              <w:rPr>
                <w:rFonts w:hint="eastAsia"/>
                <w:lang w:val="en-US" w:eastAsia="zh-CN"/>
              </w:rPr>
              <w:t>春学期</w:t>
            </w:r>
          </w:p>
        </w:tc>
        <w:tc>
          <w:tcPr>
            <w:tcW w:w="1410" w:type="dxa"/>
            <w:vAlign w:val="center"/>
          </w:tcPr>
          <w:p w14:paraId="1E676F5A">
            <w:pPr>
              <w:autoSpaceDN w:val="0"/>
              <w:spacing w:line="300" w:lineRule="auto"/>
              <w:jc w:val="center"/>
              <w:textAlignment w:val="center"/>
            </w:pPr>
            <w:r>
              <w:rPr>
                <w:rFonts w:hint="eastAsia"/>
              </w:rPr>
              <w:t>考查</w:t>
            </w:r>
          </w:p>
        </w:tc>
      </w:tr>
      <w:tr w14:paraId="48A2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30B2D3A3">
            <w:pPr>
              <w:snapToGrid w:val="0"/>
              <w:jc w:val="left"/>
              <w:rPr>
                <w:rFonts w:ascii="Times New Roman" w:hAnsi="Times New Roman" w:eastAsia="方正仿宋_GBK" w:cs="Times New Roman"/>
                <w:sz w:val="20"/>
                <w:szCs w:val="20"/>
              </w:rPr>
            </w:pPr>
            <w:r>
              <w:rPr>
                <w:rFonts w:hint="eastAsia" w:ascii="宋体" w:hAnsi="宋体" w:eastAsia="宋体" w:cs="Segoe UI"/>
                <w:kern w:val="0"/>
                <w:sz w:val="24"/>
                <w:lang w:eastAsia="zh-CN"/>
              </w:rPr>
              <w:t>工程</w:t>
            </w:r>
            <w:r>
              <w:rPr>
                <w:rFonts w:hint="eastAsia" w:ascii="宋体" w:hAnsi="宋体" w:eastAsia="宋体" w:cs="Segoe UI"/>
                <w:kern w:val="0"/>
                <w:sz w:val="24"/>
              </w:rPr>
              <w:t>结构</w:t>
            </w:r>
            <w:r>
              <w:rPr>
                <w:rFonts w:hint="eastAsia" w:ascii="宋体" w:hAnsi="宋体" w:eastAsia="宋体" w:cs="Segoe UI"/>
                <w:kern w:val="0"/>
                <w:sz w:val="24"/>
                <w:lang w:eastAsia="zh-CN"/>
              </w:rPr>
              <w:t>智能</w:t>
            </w:r>
            <w:r>
              <w:rPr>
                <w:rFonts w:hint="eastAsia" w:ascii="宋体" w:hAnsi="宋体" w:eastAsia="宋体" w:cs="Segoe UI"/>
                <w:kern w:val="0"/>
                <w:sz w:val="24"/>
              </w:rPr>
              <w:t>设计</w:t>
            </w:r>
          </w:p>
        </w:tc>
        <w:tc>
          <w:tcPr>
            <w:tcW w:w="575" w:type="dxa"/>
            <w:shd w:val="clear" w:color="auto" w:fill="auto"/>
            <w:vAlign w:val="center"/>
          </w:tcPr>
          <w:p w14:paraId="4380C789">
            <w:pPr>
              <w:snapToGrid w:val="0"/>
              <w:jc w:val="center"/>
              <w:rPr>
                <w:rFonts w:ascii="Times New Roman" w:hAnsi="Times New Roman" w:eastAsia="方正仿宋_GBK" w:cs="Times New Roman"/>
                <w:sz w:val="20"/>
                <w:szCs w:val="20"/>
              </w:rPr>
            </w:pPr>
            <w:r>
              <w:rPr>
                <w:rFonts w:hint="eastAsia" w:cs="Times New Roman"/>
                <w:sz w:val="20"/>
                <w:szCs w:val="20"/>
              </w:rPr>
              <w:t>2</w:t>
            </w:r>
          </w:p>
        </w:tc>
        <w:tc>
          <w:tcPr>
            <w:tcW w:w="910" w:type="dxa"/>
            <w:shd w:val="clear" w:color="auto" w:fill="auto"/>
            <w:vAlign w:val="center"/>
          </w:tcPr>
          <w:p w14:paraId="18D5C3E1">
            <w:pPr>
              <w:snapToGrid w:val="0"/>
              <w:jc w:val="center"/>
              <w:rPr>
                <w:rFonts w:ascii="Times New Roman" w:hAnsi="Times New Roman" w:eastAsia="方正仿宋_GBK" w:cs="Times New Roman"/>
                <w:sz w:val="20"/>
                <w:szCs w:val="20"/>
              </w:rPr>
            </w:pPr>
            <w:r>
              <w:rPr>
                <w:rFonts w:hint="eastAsia"/>
                <w:sz w:val="20"/>
                <w:szCs w:val="20"/>
              </w:rPr>
              <w:t>3</w:t>
            </w:r>
            <w:r>
              <w:rPr>
                <w:rFonts w:hint="eastAsia"/>
                <w:sz w:val="20"/>
                <w:szCs w:val="20"/>
                <w:lang w:eastAsia="zh-CN"/>
              </w:rPr>
              <w:t>2</w:t>
            </w:r>
          </w:p>
        </w:tc>
        <w:tc>
          <w:tcPr>
            <w:tcW w:w="650" w:type="dxa"/>
            <w:vAlign w:val="center"/>
          </w:tcPr>
          <w:p w14:paraId="6813C7A0">
            <w:pPr>
              <w:autoSpaceDN w:val="0"/>
              <w:spacing w:line="300" w:lineRule="auto"/>
              <w:jc w:val="center"/>
              <w:textAlignment w:val="center"/>
              <w:rPr>
                <w:rFonts w:hAnsi="宋体" w:eastAsia="宋体"/>
              </w:rPr>
            </w:pPr>
            <w:r>
              <w:rPr>
                <w:rFonts w:hint="eastAsia" w:hAnsi="宋体" w:eastAsia="宋体"/>
              </w:rPr>
              <w:t>20</w:t>
            </w:r>
          </w:p>
        </w:tc>
        <w:tc>
          <w:tcPr>
            <w:tcW w:w="825" w:type="dxa"/>
            <w:vAlign w:val="center"/>
          </w:tcPr>
          <w:p w14:paraId="7A2FF37F">
            <w:pPr>
              <w:autoSpaceDN w:val="0"/>
              <w:spacing w:line="300" w:lineRule="auto"/>
              <w:jc w:val="center"/>
              <w:textAlignment w:val="center"/>
              <w:rPr>
                <w:rFonts w:hAnsi="宋体" w:eastAsia="宋体"/>
              </w:rPr>
            </w:pPr>
            <w:r>
              <w:rPr>
                <w:rFonts w:hint="eastAsia" w:hAnsi="宋体" w:eastAsia="宋体"/>
              </w:rPr>
              <w:t>12</w:t>
            </w:r>
          </w:p>
        </w:tc>
        <w:tc>
          <w:tcPr>
            <w:tcW w:w="795" w:type="dxa"/>
            <w:vAlign w:val="center"/>
          </w:tcPr>
          <w:p w14:paraId="5BB87D76">
            <w:pPr>
              <w:autoSpaceDN w:val="0"/>
              <w:spacing w:line="300" w:lineRule="auto"/>
              <w:jc w:val="center"/>
              <w:textAlignment w:val="center"/>
              <w:rPr>
                <w:rFonts w:hAnsi="宋体"/>
              </w:rPr>
            </w:pPr>
          </w:p>
        </w:tc>
        <w:tc>
          <w:tcPr>
            <w:tcW w:w="1365" w:type="dxa"/>
            <w:vAlign w:val="center"/>
          </w:tcPr>
          <w:p w14:paraId="42A9F3AC">
            <w:pPr>
              <w:autoSpaceDN w:val="0"/>
              <w:spacing w:line="300" w:lineRule="auto"/>
              <w:jc w:val="center"/>
              <w:textAlignment w:val="center"/>
              <w:rPr>
                <w:rFonts w:hint="default" w:eastAsiaTheme="minorEastAsia"/>
                <w:lang w:val="en-US" w:eastAsia="zh-CN"/>
              </w:rPr>
            </w:pPr>
            <w:r>
              <w:rPr>
                <w:rFonts w:hint="eastAsia"/>
                <w:lang w:val="en-US" w:eastAsia="zh-CN"/>
              </w:rPr>
              <w:t>秋学期</w:t>
            </w:r>
          </w:p>
        </w:tc>
        <w:tc>
          <w:tcPr>
            <w:tcW w:w="1410" w:type="dxa"/>
            <w:vAlign w:val="center"/>
          </w:tcPr>
          <w:p w14:paraId="0C9072A0">
            <w:pPr>
              <w:autoSpaceDN w:val="0"/>
              <w:spacing w:line="300" w:lineRule="auto"/>
              <w:jc w:val="center"/>
              <w:textAlignment w:val="center"/>
            </w:pPr>
            <w:r>
              <w:rPr>
                <w:rFonts w:hint="eastAsia"/>
              </w:rPr>
              <w:t>考查</w:t>
            </w:r>
          </w:p>
        </w:tc>
      </w:tr>
      <w:tr w14:paraId="4F5D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221B74F0">
            <w:pPr>
              <w:snapToGrid w:val="0"/>
              <w:jc w:val="left"/>
              <w:rPr>
                <w:sz w:val="20"/>
                <w:szCs w:val="20"/>
              </w:rPr>
            </w:pPr>
            <w:r>
              <w:rPr>
                <w:rFonts w:hint="eastAsia" w:ascii="宋体" w:hAnsi="宋体" w:eastAsia="宋体" w:cs="Segoe UI"/>
                <w:kern w:val="0"/>
                <w:sz w:val="24"/>
              </w:rPr>
              <w:t>工程全生命周期综合实践</w:t>
            </w:r>
          </w:p>
        </w:tc>
        <w:tc>
          <w:tcPr>
            <w:tcW w:w="575" w:type="dxa"/>
            <w:shd w:val="clear" w:color="auto" w:fill="auto"/>
            <w:vAlign w:val="center"/>
          </w:tcPr>
          <w:p w14:paraId="79AA704C">
            <w:pPr>
              <w:snapToGrid w:val="0"/>
              <w:jc w:val="center"/>
              <w:rPr>
                <w:rFonts w:eastAsia="方正仿宋_GBK"/>
                <w:sz w:val="20"/>
                <w:szCs w:val="20"/>
              </w:rPr>
            </w:pPr>
            <w:r>
              <w:rPr>
                <w:rFonts w:hint="eastAsia"/>
                <w:sz w:val="20"/>
                <w:szCs w:val="20"/>
              </w:rPr>
              <w:t>3</w:t>
            </w:r>
          </w:p>
        </w:tc>
        <w:tc>
          <w:tcPr>
            <w:tcW w:w="910" w:type="dxa"/>
            <w:shd w:val="clear" w:color="auto" w:fill="auto"/>
            <w:vAlign w:val="center"/>
          </w:tcPr>
          <w:p w14:paraId="18B32DDD">
            <w:pPr>
              <w:snapToGrid w:val="0"/>
              <w:jc w:val="center"/>
              <w:rPr>
                <w:rFonts w:eastAsia="方正仿宋_GBK"/>
                <w:sz w:val="20"/>
                <w:szCs w:val="20"/>
              </w:rPr>
            </w:pPr>
            <w:r>
              <w:rPr>
                <w:rFonts w:hint="eastAsia"/>
                <w:sz w:val="20"/>
                <w:szCs w:val="20"/>
              </w:rPr>
              <w:t>48</w:t>
            </w:r>
          </w:p>
        </w:tc>
        <w:tc>
          <w:tcPr>
            <w:tcW w:w="650" w:type="dxa"/>
            <w:vAlign w:val="center"/>
          </w:tcPr>
          <w:p w14:paraId="3E272CE0">
            <w:pPr>
              <w:autoSpaceDN w:val="0"/>
              <w:spacing w:line="300" w:lineRule="auto"/>
              <w:jc w:val="center"/>
              <w:textAlignment w:val="center"/>
              <w:rPr>
                <w:rFonts w:hAnsi="宋体" w:eastAsia="宋体"/>
              </w:rPr>
            </w:pPr>
            <w:r>
              <w:rPr>
                <w:rFonts w:hint="eastAsia" w:hAnsi="宋体" w:eastAsia="宋体"/>
              </w:rPr>
              <w:t>32</w:t>
            </w:r>
          </w:p>
        </w:tc>
        <w:tc>
          <w:tcPr>
            <w:tcW w:w="825" w:type="dxa"/>
            <w:vAlign w:val="center"/>
          </w:tcPr>
          <w:p w14:paraId="06AEC0CE">
            <w:pPr>
              <w:autoSpaceDN w:val="0"/>
              <w:spacing w:line="300" w:lineRule="auto"/>
              <w:jc w:val="center"/>
              <w:textAlignment w:val="center"/>
              <w:rPr>
                <w:rFonts w:hAnsi="宋体" w:eastAsia="宋体"/>
              </w:rPr>
            </w:pPr>
            <w:r>
              <w:rPr>
                <w:rFonts w:hint="eastAsia" w:hAnsi="宋体" w:eastAsia="宋体"/>
              </w:rPr>
              <w:t>16</w:t>
            </w:r>
          </w:p>
        </w:tc>
        <w:tc>
          <w:tcPr>
            <w:tcW w:w="795" w:type="dxa"/>
            <w:vAlign w:val="center"/>
          </w:tcPr>
          <w:p w14:paraId="0E0900D9">
            <w:pPr>
              <w:autoSpaceDN w:val="0"/>
              <w:spacing w:line="300" w:lineRule="auto"/>
              <w:jc w:val="center"/>
              <w:textAlignment w:val="center"/>
              <w:rPr>
                <w:rFonts w:hAnsi="宋体"/>
              </w:rPr>
            </w:pPr>
          </w:p>
        </w:tc>
        <w:tc>
          <w:tcPr>
            <w:tcW w:w="1365" w:type="dxa"/>
            <w:vAlign w:val="center"/>
          </w:tcPr>
          <w:p w14:paraId="0BED0D03">
            <w:pPr>
              <w:autoSpaceDN w:val="0"/>
              <w:spacing w:line="300" w:lineRule="auto"/>
              <w:jc w:val="center"/>
              <w:textAlignment w:val="center"/>
              <w:rPr>
                <w:rFonts w:hint="eastAsia" w:eastAsiaTheme="minorEastAsia"/>
                <w:lang w:val="en-US" w:eastAsia="zh-CN"/>
              </w:rPr>
            </w:pPr>
            <w:r>
              <w:rPr>
                <w:rFonts w:hint="eastAsia"/>
                <w:lang w:val="en-US" w:eastAsia="zh-CN"/>
              </w:rPr>
              <w:t>秋学期</w:t>
            </w:r>
          </w:p>
        </w:tc>
        <w:tc>
          <w:tcPr>
            <w:tcW w:w="1410" w:type="dxa"/>
            <w:vAlign w:val="center"/>
          </w:tcPr>
          <w:p w14:paraId="279EA2BA">
            <w:pPr>
              <w:autoSpaceDN w:val="0"/>
              <w:spacing w:line="300" w:lineRule="auto"/>
              <w:jc w:val="center"/>
              <w:textAlignment w:val="center"/>
            </w:pPr>
            <w:r>
              <w:rPr>
                <w:rFonts w:hint="eastAsia"/>
              </w:rPr>
              <w:t>考查</w:t>
            </w:r>
          </w:p>
        </w:tc>
      </w:tr>
      <w:tr w14:paraId="587B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306543FD">
            <w:pPr>
              <w:autoSpaceDN w:val="0"/>
              <w:spacing w:line="300" w:lineRule="auto"/>
              <w:jc w:val="center"/>
              <w:textAlignment w:val="center"/>
              <w:rPr>
                <w:rFonts w:hAnsi="宋体"/>
              </w:rPr>
            </w:pPr>
            <w:r>
              <w:rPr>
                <w:rFonts w:hint="eastAsia" w:hAnsi="宋体"/>
              </w:rPr>
              <w:t>合计</w:t>
            </w:r>
          </w:p>
        </w:tc>
        <w:tc>
          <w:tcPr>
            <w:tcW w:w="575" w:type="dxa"/>
            <w:vAlign w:val="center"/>
          </w:tcPr>
          <w:p w14:paraId="4C226C17">
            <w:pPr>
              <w:autoSpaceDN w:val="0"/>
              <w:spacing w:line="300" w:lineRule="auto"/>
              <w:jc w:val="center"/>
              <w:textAlignment w:val="center"/>
              <w:rPr>
                <w:rFonts w:hAnsi="宋体"/>
              </w:rPr>
            </w:pPr>
            <w:r>
              <w:rPr>
                <w:rFonts w:hint="eastAsia" w:hAnsi="宋体"/>
              </w:rPr>
              <w:t>12</w:t>
            </w:r>
          </w:p>
        </w:tc>
        <w:tc>
          <w:tcPr>
            <w:tcW w:w="910" w:type="dxa"/>
            <w:vAlign w:val="center"/>
          </w:tcPr>
          <w:p w14:paraId="3C7562DB">
            <w:pPr>
              <w:autoSpaceDN w:val="0"/>
              <w:spacing w:line="300" w:lineRule="auto"/>
              <w:jc w:val="center"/>
              <w:textAlignment w:val="center"/>
              <w:rPr>
                <w:rFonts w:hAnsi="宋体"/>
              </w:rPr>
            </w:pPr>
            <w:r>
              <w:rPr>
                <w:rFonts w:hint="eastAsia" w:hAnsi="宋体"/>
              </w:rPr>
              <w:t>192</w:t>
            </w:r>
          </w:p>
        </w:tc>
        <w:tc>
          <w:tcPr>
            <w:tcW w:w="650" w:type="dxa"/>
            <w:vAlign w:val="center"/>
          </w:tcPr>
          <w:p w14:paraId="4E6FEAB5">
            <w:pPr>
              <w:autoSpaceDN w:val="0"/>
              <w:spacing w:line="300" w:lineRule="auto"/>
              <w:jc w:val="center"/>
              <w:textAlignment w:val="center"/>
              <w:rPr>
                <w:rFonts w:hAnsi="宋体"/>
              </w:rPr>
            </w:pPr>
            <w:r>
              <w:rPr>
                <w:rFonts w:hint="eastAsia" w:hAnsi="宋体"/>
              </w:rPr>
              <w:t>140</w:t>
            </w:r>
          </w:p>
        </w:tc>
        <w:tc>
          <w:tcPr>
            <w:tcW w:w="825" w:type="dxa"/>
            <w:vAlign w:val="center"/>
          </w:tcPr>
          <w:p w14:paraId="4147E018">
            <w:pPr>
              <w:autoSpaceDN w:val="0"/>
              <w:spacing w:line="300" w:lineRule="auto"/>
              <w:jc w:val="center"/>
              <w:textAlignment w:val="center"/>
              <w:rPr>
                <w:rFonts w:hAnsi="宋体"/>
              </w:rPr>
            </w:pPr>
            <w:r>
              <w:rPr>
                <w:rFonts w:hint="eastAsia" w:hAnsi="宋体"/>
              </w:rPr>
              <w:t>28</w:t>
            </w:r>
          </w:p>
        </w:tc>
        <w:tc>
          <w:tcPr>
            <w:tcW w:w="795" w:type="dxa"/>
            <w:vAlign w:val="center"/>
          </w:tcPr>
          <w:p w14:paraId="52245A17">
            <w:pPr>
              <w:autoSpaceDN w:val="0"/>
              <w:spacing w:line="300" w:lineRule="auto"/>
              <w:jc w:val="center"/>
              <w:textAlignment w:val="center"/>
              <w:rPr>
                <w:rFonts w:hAnsi="宋体"/>
              </w:rPr>
            </w:pPr>
            <w:r>
              <w:rPr>
                <w:rFonts w:hint="eastAsia" w:hAnsi="宋体"/>
              </w:rPr>
              <w:t>24</w:t>
            </w:r>
          </w:p>
        </w:tc>
        <w:tc>
          <w:tcPr>
            <w:tcW w:w="1365" w:type="dxa"/>
            <w:vAlign w:val="center"/>
          </w:tcPr>
          <w:p w14:paraId="04BBA59A">
            <w:pPr>
              <w:autoSpaceDN w:val="0"/>
              <w:spacing w:line="300" w:lineRule="auto"/>
              <w:textAlignment w:val="center"/>
            </w:pPr>
          </w:p>
        </w:tc>
        <w:tc>
          <w:tcPr>
            <w:tcW w:w="1410" w:type="dxa"/>
            <w:vAlign w:val="center"/>
          </w:tcPr>
          <w:p w14:paraId="45066F59">
            <w:pPr>
              <w:autoSpaceDN w:val="0"/>
              <w:spacing w:line="300" w:lineRule="auto"/>
              <w:jc w:val="center"/>
              <w:textAlignment w:val="center"/>
            </w:pPr>
          </w:p>
        </w:tc>
      </w:tr>
    </w:tbl>
    <w:p w14:paraId="334C5CC5">
      <w:pPr>
        <w:spacing w:line="360" w:lineRule="auto"/>
        <w:jc w:val="left"/>
        <w:rPr>
          <w:rFonts w:ascii="宋体" w:hAnsi="宋体" w:eastAsia="宋体" w:cs="宋体"/>
          <w:color w:val="FF0000"/>
          <w:sz w:val="24"/>
        </w:rPr>
      </w:pPr>
      <w:r>
        <w:rPr>
          <w:rFonts w:hint="eastAsia" w:ascii="宋体" w:hAnsi="宋体" w:eastAsia="宋体" w:cs="宋体"/>
          <w:sz w:val="24"/>
        </w:rPr>
        <w:t>注意：开课学期在连续两个学期内，课程授课安排主要在晚上或周末时间，具体见课表。</w:t>
      </w:r>
    </w:p>
    <w:p w14:paraId="0EF76280">
      <w:pPr>
        <w:spacing w:line="360" w:lineRule="auto"/>
        <w:ind w:firstLine="562" w:firstLineChars="200"/>
        <w:jc w:val="left"/>
        <w:rPr>
          <w:rFonts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（二）课程具体介绍</w:t>
      </w:r>
    </w:p>
    <w:p w14:paraId="002D621D">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1.智能建造导论</w:t>
      </w:r>
    </w:p>
    <w:p w14:paraId="2FF5D42C">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【课程概述】本课程主要介绍智能建造的</w:t>
      </w:r>
      <w:r>
        <w:rPr>
          <w:rFonts w:hint="eastAsia" w:ascii="宋体" w:hAnsi="宋体" w:eastAsia="宋体" w:cs="宋体"/>
          <w:sz w:val="28"/>
          <w:szCs w:val="28"/>
          <w:lang w:val="en-US" w:eastAsia="zh-CN"/>
        </w:rPr>
        <w:t>概念与内涵</w:t>
      </w:r>
      <w:r>
        <w:rPr>
          <w:rFonts w:hint="eastAsia" w:ascii="宋体" w:hAnsi="宋体" w:eastAsia="宋体" w:cs="宋体"/>
          <w:sz w:val="28"/>
          <w:szCs w:val="28"/>
        </w:rPr>
        <w:t>，智能建造技术在建筑全生命周期的应用，BIM、人工智能等技术在智能建造中的作用。通过本课程的学习，使学生对智能建造技术建立一个科学、全面的认识</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了解</w:t>
      </w:r>
      <w:r>
        <w:rPr>
          <w:rFonts w:hint="eastAsia" w:ascii="宋体" w:hAnsi="宋体" w:eastAsia="宋体" w:cs="宋体"/>
          <w:sz w:val="28"/>
          <w:szCs w:val="28"/>
        </w:rPr>
        <w:t>智能建造技术的优势。</w:t>
      </w:r>
    </w:p>
    <w:p w14:paraId="74B614E7">
      <w:pPr>
        <w:spacing w:line="360" w:lineRule="auto"/>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2.物联网技术</w:t>
      </w:r>
    </w:p>
    <w:p w14:paraId="7C815C83">
      <w:pPr>
        <w:spacing w:line="360" w:lineRule="auto"/>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课程概述】本课程是土木工程与物联网工程等多个学科的交叉融合课程，既要培养学生掌握物联网的基本概念、系统架构、工作原理，掌握有关物联网的基本知识，又要培养学生掌握传感器及其工作原理和基本应用。还要锻炼学生将传感器、物联网等技术在土木水利工程中应用的能力。学完本课程后，学生将具备基本的传感与物联网技术的应用能力。</w:t>
      </w:r>
    </w:p>
    <w:p w14:paraId="142CD8FC">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3.工程智慧施工</w:t>
      </w:r>
    </w:p>
    <w:p w14:paraId="54451607">
      <w:pPr>
        <w:spacing w:line="360" w:lineRule="auto"/>
        <w:ind w:firstLine="560" w:firstLineChars="200"/>
        <w:rPr>
          <w:rFonts w:hint="eastAsia" w:ascii="Times New Roman" w:hAnsi="Times New Roman" w:eastAsia="宋体"/>
          <w:sz w:val="28"/>
          <w:szCs w:val="28"/>
        </w:rPr>
      </w:pPr>
      <w:r>
        <w:rPr>
          <w:rFonts w:hint="eastAsia" w:ascii="Times New Roman" w:hAnsi="Times New Roman" w:eastAsia="宋体"/>
          <w:sz w:val="28"/>
          <w:szCs w:val="28"/>
        </w:rPr>
        <w:t>【课程概述】本课程通过工程智慧施工课程的学习，学生能够对智能施工的理论有初步的认识。课程教学内容主要包括智能施工发展趋势、建筑施工过程数字化建造技术、建筑施工过程数字化管理技术、课程以“互联网+”“BIM+”“智能技术+”为驱动，强调理论与实践紧密结合。通过本课程的学习，掌握智慧施工的基本原理、关键技术与系统架构，理解智能测绘、智慧工地系统、数字化施工流程、建筑机器人应用等内容。</w:t>
      </w:r>
    </w:p>
    <w:p w14:paraId="3579C445">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4.施工机械与机器人</w:t>
      </w:r>
    </w:p>
    <w:p w14:paraId="63A755F8">
      <w:pPr>
        <w:spacing w:line="360" w:lineRule="auto"/>
        <w:ind w:firstLine="560" w:firstLineChars="200"/>
        <w:rPr>
          <w:rFonts w:ascii="Times New Roman" w:hAnsi="Times New Roman" w:eastAsia="宋体"/>
          <w:sz w:val="28"/>
          <w:szCs w:val="28"/>
        </w:rPr>
      </w:pPr>
      <w:r>
        <w:rPr>
          <w:rFonts w:hint="eastAsia" w:ascii="宋体" w:hAnsi="宋体" w:eastAsia="宋体" w:cs="宋体"/>
          <w:sz w:val="28"/>
          <w:szCs w:val="28"/>
        </w:rPr>
        <w:t>【课程概述】施工机械与机器人是将智能技术与建筑机械进行交叉融合的一门课程，是建筑行业转型升级的产物。课程重点介绍典型智能工程机械的内涵、发展现状，智能建造机器人的成熟技术与前沿知识，助力学生从宏观层面把握智能工程机械的基本原理、智能建造机器人的相关技术。通过该课程学习和实践，使学生了解国内外建筑智能机器发展趋势，建筑智能机器人研究领域的新进展，熟悉建筑机器人协作控制领域的关键技术环节，综合理解并运用相关软硬件开发技术，为学生今后走向社会和服务社会提供强有力的专业知识保证。</w:t>
      </w:r>
    </w:p>
    <w:p w14:paraId="0443E038">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eastAsia="zh-CN"/>
        </w:rPr>
        <w:t>工程</w:t>
      </w:r>
      <w:r>
        <w:rPr>
          <w:rFonts w:hint="eastAsia" w:ascii="宋体" w:hAnsi="宋体" w:eastAsia="宋体" w:cs="宋体"/>
          <w:sz w:val="28"/>
          <w:szCs w:val="28"/>
        </w:rPr>
        <w:t>结构</w:t>
      </w:r>
      <w:r>
        <w:rPr>
          <w:rFonts w:hint="eastAsia" w:ascii="宋体" w:hAnsi="宋体" w:eastAsia="宋体" w:cs="宋体"/>
          <w:sz w:val="28"/>
          <w:szCs w:val="28"/>
          <w:lang w:eastAsia="zh-CN"/>
        </w:rPr>
        <w:t>智能</w:t>
      </w:r>
      <w:r>
        <w:rPr>
          <w:rFonts w:hint="eastAsia" w:ascii="宋体" w:hAnsi="宋体" w:eastAsia="宋体" w:cs="宋体"/>
          <w:sz w:val="28"/>
          <w:szCs w:val="28"/>
        </w:rPr>
        <w:t>设计</w:t>
      </w:r>
    </w:p>
    <w:p w14:paraId="16EF217F">
      <w:pPr>
        <w:spacing w:line="360" w:lineRule="auto"/>
        <w:ind w:firstLine="560" w:firstLineChars="200"/>
        <w:jc w:val="left"/>
        <w:rPr>
          <w:rFonts w:ascii="Times New Roman" w:hAnsi="Times New Roman" w:eastAsia="宋体"/>
          <w:sz w:val="28"/>
          <w:szCs w:val="28"/>
        </w:rPr>
      </w:pPr>
      <w:r>
        <w:rPr>
          <w:rFonts w:hint="eastAsia" w:ascii="Times New Roman" w:hAnsi="Times New Roman" w:eastAsia="宋体"/>
          <w:sz w:val="28"/>
          <w:szCs w:val="28"/>
        </w:rPr>
        <w:t>【课程概述】本课程是一门面向土木工程及其相关专业的前沿交叉学科课程，在传统的结构设计理论、规范和分析方法的基础上，引导学生探索如何将人工智能、数据科学、优化算法</w:t>
      </w:r>
      <w:r>
        <w:rPr>
          <w:rFonts w:hint="eastAsia" w:ascii="Times New Roman" w:hAnsi="Times New Roman" w:eastAsia="宋体"/>
          <w:sz w:val="28"/>
          <w:szCs w:val="28"/>
          <w:lang w:eastAsia="zh-CN"/>
        </w:rPr>
        <w:t>等应用</w:t>
      </w:r>
      <w:r>
        <w:rPr>
          <w:rFonts w:hint="eastAsia" w:ascii="Times New Roman" w:hAnsi="Times New Roman" w:eastAsia="宋体"/>
          <w:sz w:val="28"/>
          <w:szCs w:val="28"/>
        </w:rPr>
        <w:t>到</w:t>
      </w:r>
      <w:r>
        <w:rPr>
          <w:rFonts w:hint="eastAsia" w:ascii="Times New Roman" w:hAnsi="Times New Roman" w:eastAsia="宋体"/>
          <w:sz w:val="28"/>
          <w:szCs w:val="28"/>
          <w:lang w:eastAsia="zh-CN"/>
        </w:rPr>
        <w:t>工程</w:t>
      </w:r>
      <w:r>
        <w:rPr>
          <w:rFonts w:hint="eastAsia" w:ascii="Times New Roman" w:hAnsi="Times New Roman" w:eastAsia="宋体"/>
          <w:sz w:val="28"/>
          <w:szCs w:val="28"/>
        </w:rPr>
        <w:t>结构设计全生命周期中。本课程旨在将以工程经验和规范为主的传统设计模式，转向以数据与算法为主的</w:t>
      </w:r>
      <w:r>
        <w:rPr>
          <w:rFonts w:hint="eastAsia" w:ascii="Times New Roman" w:hAnsi="Times New Roman" w:eastAsia="宋体"/>
          <w:sz w:val="28"/>
          <w:szCs w:val="28"/>
          <w:lang w:eastAsia="zh-CN"/>
        </w:rPr>
        <w:t>智能</w:t>
      </w:r>
      <w:r>
        <w:rPr>
          <w:rFonts w:hint="eastAsia" w:ascii="Times New Roman" w:hAnsi="Times New Roman" w:eastAsia="宋体"/>
          <w:sz w:val="28"/>
          <w:szCs w:val="28"/>
        </w:rPr>
        <w:t>设计新模式，帮助学生理解结构</w:t>
      </w:r>
      <w:r>
        <w:rPr>
          <w:rFonts w:hint="eastAsia" w:ascii="Times New Roman" w:hAnsi="Times New Roman" w:eastAsia="宋体"/>
          <w:sz w:val="28"/>
          <w:szCs w:val="28"/>
          <w:lang w:eastAsia="zh-CN"/>
        </w:rPr>
        <w:t>智能</w:t>
      </w:r>
      <w:r>
        <w:rPr>
          <w:rFonts w:hint="eastAsia" w:ascii="Times New Roman" w:hAnsi="Times New Roman" w:eastAsia="宋体"/>
          <w:sz w:val="28"/>
          <w:szCs w:val="28"/>
        </w:rPr>
        <w:t>设计的核心理论与方法，熟练运用至少一种主流的参数化设计平台及其结构分析软件，具备运用计算性思维解决复杂设计问题的能力。</w:t>
      </w:r>
    </w:p>
    <w:p w14:paraId="0EB7FDB5">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6.工程全生命周期综合实践</w:t>
      </w:r>
    </w:p>
    <w:p w14:paraId="6C91F468">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课程概述】本课程旨在打破传统单一学科的教学壁垒，为学生提供一个宏观、系统、连贯的建筑工程视角。课程主要从项目的策划与决策、设计、招投标与采购、施工与交付、运营与维护、拆除与再生等方面讲授工程结构全生命周期。通过模拟一个真实建筑项目从“构想”到“报废与再生”的完整历程，培养学生成为具备全局观、跨学科协作能力和可持续发展理念的未来工程师与建筑师。</w:t>
      </w:r>
    </w:p>
    <w:p w14:paraId="0DE5A977">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三、招生计划</w:t>
      </w:r>
    </w:p>
    <w:p w14:paraId="276C8287">
      <w:pPr>
        <w:spacing w:line="360" w:lineRule="auto"/>
        <w:ind w:firstLine="560" w:firstLineChars="200"/>
        <w:rPr>
          <w:rFonts w:ascii="Times New Roman" w:hAnsi="Times New Roman" w:eastAsia="宋体"/>
          <w:color w:val="FF0000"/>
          <w:sz w:val="28"/>
          <w:szCs w:val="28"/>
        </w:rPr>
      </w:pPr>
      <w:r>
        <w:rPr>
          <w:rFonts w:hint="eastAsia" w:ascii="Times New Roman" w:hAnsi="Times New Roman" w:eastAsia="宋体"/>
          <w:color w:val="000000" w:themeColor="text1"/>
          <w:sz w:val="28"/>
          <w:szCs w:val="28"/>
          <w14:textFill>
            <w14:solidFill>
              <w14:schemeClr w14:val="tx1"/>
            </w14:solidFill>
          </w14:textFill>
        </w:rPr>
        <w:t>计划招生人数：30</w:t>
      </w:r>
      <w:r>
        <w:rPr>
          <w:rFonts w:hint="eastAsia" w:ascii="Times New Roman" w:hAnsi="Times New Roman" w:eastAsia="宋体"/>
          <w:color w:val="000000" w:themeColor="text1"/>
          <w:sz w:val="28"/>
          <w:szCs w:val="28"/>
          <w:lang w:val="en-US" w:eastAsia="zh-CN"/>
          <w14:textFill>
            <w14:solidFill>
              <w14:schemeClr w14:val="tx1"/>
            </w14:solidFill>
          </w14:textFill>
        </w:rPr>
        <w:t>-60</w:t>
      </w:r>
      <w:r>
        <w:rPr>
          <w:rFonts w:hint="eastAsia" w:ascii="Times New Roman" w:hAnsi="Times New Roman" w:eastAsia="宋体"/>
          <w:color w:val="000000" w:themeColor="text1"/>
          <w:sz w:val="28"/>
          <w:szCs w:val="28"/>
          <w14:textFill>
            <w14:solidFill>
              <w14:schemeClr w14:val="tx1"/>
            </w14:solidFill>
          </w14:textFill>
        </w:rPr>
        <w:t>人。</w:t>
      </w:r>
    </w:p>
    <w:p w14:paraId="352EB9E8">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四、招生要求</w:t>
      </w:r>
    </w:p>
    <w:p w14:paraId="1792E6CB">
      <w:pPr>
        <w:spacing w:line="360" w:lineRule="auto"/>
        <w:ind w:firstLine="638" w:firstLineChars="228"/>
        <w:rPr>
          <w:rFonts w:ascii="宋体" w:hAnsi="宋体" w:eastAsia="宋体" w:cs="宋体"/>
          <w:sz w:val="28"/>
          <w:szCs w:val="28"/>
        </w:rPr>
      </w:pPr>
      <w:r>
        <w:rPr>
          <w:rFonts w:hint="eastAsia" w:ascii="宋体" w:hAnsi="宋体" w:eastAsia="宋体" w:cs="宋体"/>
          <w:sz w:val="28"/>
          <w:szCs w:val="28"/>
        </w:rPr>
        <w:t>1.专业要求：</w:t>
      </w:r>
    </w:p>
    <w:p w14:paraId="0128F7C5">
      <w:pPr>
        <w:spacing w:line="360" w:lineRule="auto"/>
        <w:ind w:firstLine="560" w:firstLineChars="200"/>
        <w:jc w:val="left"/>
        <w:rPr>
          <w:rFonts w:hint="eastAsia" w:ascii="inherit" w:hAnsi="inherit" w:eastAsia="宋体" w:cs="Segoe UI"/>
          <w:kern w:val="0"/>
          <w:sz w:val="28"/>
          <w:szCs w:val="28"/>
        </w:rPr>
      </w:pPr>
      <w:r>
        <w:rPr>
          <w:rFonts w:hint="eastAsia" w:ascii="inherit" w:hAnsi="inherit" w:eastAsia="宋体" w:cs="Segoe UI"/>
          <w:kern w:val="0"/>
          <w:sz w:val="28"/>
          <w:szCs w:val="28"/>
          <w:lang w:val="en-US" w:eastAsia="zh-CN"/>
        </w:rPr>
        <w:t>水利工程</w:t>
      </w:r>
      <w:bookmarkStart w:id="0" w:name="_GoBack"/>
      <w:bookmarkEnd w:id="0"/>
      <w:r>
        <w:rPr>
          <w:rFonts w:hint="eastAsia" w:ascii="inherit" w:hAnsi="inherit" w:eastAsia="宋体" w:cs="Segoe UI"/>
          <w:kern w:val="0"/>
          <w:sz w:val="28"/>
          <w:szCs w:val="28"/>
          <w:lang w:val="en-US" w:eastAsia="zh-CN"/>
        </w:rPr>
        <w:t>学院、</w:t>
      </w:r>
      <w:r>
        <w:rPr>
          <w:rFonts w:ascii="inherit" w:hAnsi="inherit" w:eastAsia="宋体" w:cs="Segoe UI"/>
          <w:kern w:val="0"/>
          <w:sz w:val="28"/>
          <w:szCs w:val="28"/>
        </w:rPr>
        <w:t>土木</w:t>
      </w:r>
      <w:r>
        <w:rPr>
          <w:rFonts w:hint="eastAsia" w:ascii="inherit" w:hAnsi="inherit" w:eastAsia="宋体" w:cs="Segoe UI"/>
          <w:kern w:val="0"/>
          <w:sz w:val="28"/>
          <w:szCs w:val="28"/>
          <w:lang w:val="en-US" w:eastAsia="zh-CN"/>
        </w:rPr>
        <w:t>与安全</w:t>
      </w:r>
      <w:r>
        <w:rPr>
          <w:rFonts w:ascii="inherit" w:hAnsi="inherit" w:eastAsia="宋体" w:cs="Segoe UI"/>
          <w:kern w:val="0"/>
          <w:sz w:val="28"/>
          <w:szCs w:val="28"/>
        </w:rPr>
        <w:t>工程</w:t>
      </w:r>
      <w:r>
        <w:rPr>
          <w:rFonts w:hint="eastAsia" w:ascii="inherit" w:hAnsi="inherit" w:eastAsia="宋体" w:cs="Segoe UI"/>
          <w:kern w:val="0"/>
          <w:sz w:val="28"/>
          <w:szCs w:val="28"/>
          <w:lang w:val="en-US" w:eastAsia="zh-CN"/>
        </w:rPr>
        <w:t>学院、电信工程学院、计算机与人工智能学院、机械工程学院的所有工科专业。</w:t>
      </w:r>
    </w:p>
    <w:p w14:paraId="09BDCB13">
      <w:pPr>
        <w:spacing w:line="360" w:lineRule="auto"/>
        <w:ind w:firstLine="638" w:firstLineChars="228"/>
        <w:rPr>
          <w:rFonts w:ascii="宋体" w:hAnsi="宋体" w:eastAsia="宋体" w:cs="宋体"/>
          <w:sz w:val="28"/>
          <w:szCs w:val="28"/>
        </w:rPr>
      </w:pPr>
      <w:r>
        <w:rPr>
          <w:rFonts w:hint="eastAsia" w:ascii="宋体" w:hAnsi="宋体" w:eastAsia="宋体" w:cs="宋体"/>
          <w:sz w:val="28"/>
          <w:szCs w:val="28"/>
        </w:rPr>
        <w:t>2.报名条件：</w:t>
      </w:r>
    </w:p>
    <w:p w14:paraId="6BD68DB7">
      <w:pPr>
        <w:spacing w:line="360" w:lineRule="auto"/>
        <w:ind w:firstLine="560" w:firstLineChars="200"/>
        <w:jc w:val="left"/>
        <w:rPr>
          <w:rFonts w:ascii="inherit" w:hAnsi="inherit" w:eastAsia="宋体" w:cs="Segoe UI"/>
          <w:kern w:val="0"/>
          <w:sz w:val="28"/>
          <w:szCs w:val="28"/>
        </w:rPr>
      </w:pPr>
      <w:r>
        <w:rPr>
          <w:rFonts w:ascii="inherit" w:hAnsi="inherit" w:eastAsia="宋体" w:cs="Segoe UI"/>
          <w:kern w:val="0"/>
          <w:sz w:val="28"/>
          <w:szCs w:val="28"/>
        </w:rPr>
        <w:t>学有余力</w:t>
      </w:r>
      <w:r>
        <w:rPr>
          <w:rFonts w:hint="eastAsia" w:ascii="inherit" w:hAnsi="inherit" w:eastAsia="宋体" w:cs="Segoe UI"/>
          <w:kern w:val="0"/>
          <w:sz w:val="28"/>
          <w:szCs w:val="28"/>
        </w:rPr>
        <w:t>（没有不及格课程）</w:t>
      </w:r>
      <w:r>
        <w:rPr>
          <w:rFonts w:ascii="inherit" w:hAnsi="inherit" w:eastAsia="宋体" w:cs="Segoe UI"/>
          <w:kern w:val="0"/>
          <w:sz w:val="28"/>
          <w:szCs w:val="28"/>
        </w:rPr>
        <w:t>的全日制在校本科二年级及以上的学生</w:t>
      </w:r>
      <w:r>
        <w:rPr>
          <w:rFonts w:hint="eastAsia" w:ascii="inherit" w:hAnsi="inherit" w:eastAsia="宋体" w:cs="Segoe UI"/>
          <w:kern w:val="0"/>
          <w:sz w:val="28"/>
          <w:szCs w:val="28"/>
        </w:rPr>
        <w:t>，</w:t>
      </w:r>
      <w:r>
        <w:rPr>
          <w:rFonts w:ascii="inherit" w:hAnsi="inherit" w:eastAsia="宋体" w:cs="Segoe UI"/>
          <w:kern w:val="0"/>
          <w:sz w:val="28"/>
          <w:szCs w:val="28"/>
        </w:rPr>
        <w:t>身心健康，品行表现优良，无任何违法违纪受处分记录</w:t>
      </w:r>
      <w:r>
        <w:rPr>
          <w:rFonts w:hint="eastAsia" w:ascii="inherit" w:hAnsi="inherit" w:eastAsia="宋体" w:cs="Segoe UI"/>
          <w:kern w:val="0"/>
          <w:sz w:val="28"/>
          <w:szCs w:val="28"/>
        </w:rPr>
        <w:t>。</w:t>
      </w:r>
    </w:p>
    <w:p w14:paraId="0A877CF2">
      <w:pPr>
        <w:spacing w:line="360" w:lineRule="auto"/>
        <w:ind w:firstLine="560" w:firstLineChars="200"/>
        <w:jc w:val="left"/>
        <w:rPr>
          <w:rFonts w:cs="Times New Roman" w:asciiTheme="minorEastAsia" w:hAnsiTheme="minorEastAsia"/>
          <w:sz w:val="28"/>
          <w:szCs w:val="28"/>
        </w:rPr>
      </w:pPr>
      <w:r>
        <w:rPr>
          <w:rFonts w:ascii="Times New Roman" w:hAnsi="Times New Roman" w:eastAsia="宋体"/>
          <w:color w:val="FF0000"/>
          <w:sz w:val="28"/>
          <w:szCs w:val="28"/>
        </w:rPr>
        <w:drawing>
          <wp:anchor distT="0" distB="0" distL="114300" distR="114300" simplePos="0" relativeHeight="251659264" behindDoc="0" locked="0" layoutInCell="1" allowOverlap="1">
            <wp:simplePos x="0" y="0"/>
            <wp:positionH relativeFrom="column">
              <wp:posOffset>3248025</wp:posOffset>
            </wp:positionH>
            <wp:positionV relativeFrom="paragraph">
              <wp:posOffset>1002030</wp:posOffset>
            </wp:positionV>
            <wp:extent cx="1987550" cy="2533650"/>
            <wp:effectExtent l="0" t="0" r="0" b="0"/>
            <wp:wrapSquare wrapText="bothSides"/>
            <wp:docPr id="1" name="图片 1" descr="C:\Users\Administrator\Desktop\智能建造微专业QQ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智能建造微专业QQ群.jpg"/>
                    <pic:cNvPicPr>
                      <a:picLocks noChangeAspect="1" noChangeArrowheads="1"/>
                    </pic:cNvPicPr>
                  </pic:nvPicPr>
                  <pic:blipFill>
                    <a:blip r:embed="rId4" cstate="print">
                      <a:extLst>
                        <a:ext uri="{28A0092B-C50C-407E-A947-70E740481C1C}">
                          <a14:useLocalDpi xmlns:a14="http://schemas.microsoft.com/office/drawing/2010/main" val="0"/>
                        </a:ext>
                      </a:extLst>
                    </a:blip>
                    <a:srcRect l="8640" t="15482" r="8587" b="25183"/>
                    <a:stretch>
                      <a:fillRect/>
                    </a:stretch>
                  </pic:blipFill>
                  <pic:spPr>
                    <a:xfrm>
                      <a:off x="0" y="0"/>
                      <a:ext cx="1987550" cy="2533650"/>
                    </a:xfrm>
                    <a:prstGeom prst="rect">
                      <a:avLst/>
                    </a:prstGeom>
                    <a:noFill/>
                    <a:ln>
                      <a:noFill/>
                    </a:ln>
                  </pic:spPr>
                </pic:pic>
              </a:graphicData>
            </a:graphic>
          </wp:anchor>
        </w:drawing>
      </w:r>
      <w:r>
        <w:rPr>
          <w:rFonts w:cs="Times New Roman" w:asciiTheme="minorEastAsia" w:hAnsiTheme="minorEastAsia"/>
          <w:sz w:val="28"/>
          <w:szCs w:val="28"/>
        </w:rPr>
        <w:t>3</w:t>
      </w:r>
      <w:r>
        <w:rPr>
          <w:rFonts w:hint="eastAsia" w:cs="Times New Roman" w:asciiTheme="minorEastAsia" w:hAnsiTheme="minorEastAsia"/>
          <w:sz w:val="28"/>
          <w:szCs w:val="28"/>
        </w:rPr>
        <w:t>.遴选方式：符合报名条件的，报名人数在招生规模以内的全部录取。超过招生规模的，根据第一学年学业绩点由高至低排序确定修读名单。</w:t>
      </w:r>
    </w:p>
    <w:p w14:paraId="5B926B8E">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五、微专业联系人及联系方式</w:t>
      </w:r>
    </w:p>
    <w:p w14:paraId="7E374D42">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 xml:space="preserve">联系人：杜老师 </w:t>
      </w:r>
      <w:r>
        <w:rPr>
          <w:rFonts w:ascii="Times New Roman" w:hAnsi="Times New Roman" w:eastAsia="宋体"/>
          <w:sz w:val="28"/>
          <w:szCs w:val="28"/>
        </w:rPr>
        <w:t xml:space="preserve">               </w:t>
      </w:r>
    </w:p>
    <w:p w14:paraId="2A9BD9CF">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电话：0555-5222057</w:t>
      </w:r>
    </w:p>
    <w:p w14:paraId="37FFA55A">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邮箱：</w:t>
      </w:r>
      <w:r>
        <w:fldChar w:fldCharType="begin"/>
      </w:r>
      <w:r>
        <w:instrText xml:space="preserve"> HYPERLINK "mailto:1437913127@qq.com" </w:instrText>
      </w:r>
      <w:r>
        <w:fldChar w:fldCharType="separate"/>
      </w:r>
      <w:r>
        <w:rPr>
          <w:rStyle w:val="5"/>
          <w:rFonts w:hint="eastAsia" w:ascii="Times New Roman" w:hAnsi="Times New Roman" w:eastAsia="宋体"/>
          <w:sz w:val="28"/>
          <w:szCs w:val="28"/>
        </w:rPr>
        <w:t>1437913127</w:t>
      </w:r>
      <w:r>
        <w:rPr>
          <w:rStyle w:val="5"/>
          <w:rFonts w:ascii="Times New Roman" w:hAnsi="Times New Roman" w:eastAsia="宋体"/>
          <w:sz w:val="28"/>
          <w:szCs w:val="28"/>
        </w:rPr>
        <w:t>@qq.com</w:t>
      </w:r>
      <w:r>
        <w:rPr>
          <w:rStyle w:val="5"/>
          <w:rFonts w:ascii="Times New Roman" w:hAnsi="Times New Roman" w:eastAsia="宋体"/>
          <w:sz w:val="28"/>
          <w:szCs w:val="28"/>
        </w:rPr>
        <w:fldChar w:fldCharType="end"/>
      </w:r>
      <w:r>
        <w:rPr>
          <w:rFonts w:ascii="Times New Roman" w:hAnsi="Times New Roman" w:eastAsia="宋体"/>
          <w:sz w:val="28"/>
          <w:szCs w:val="28"/>
        </w:rPr>
        <w:t xml:space="preserve">      </w:t>
      </w:r>
    </w:p>
    <w:p w14:paraId="65774EA7">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QQ群：1060233428</w:t>
      </w:r>
    </w:p>
    <w:p w14:paraId="2D113828">
      <w:pPr>
        <w:spacing w:line="360" w:lineRule="auto"/>
        <w:ind w:firstLine="560" w:firstLineChars="200"/>
        <w:rPr>
          <w:rFonts w:ascii="Times New Roman" w:hAnsi="Times New Roman" w:eastAsia="宋体"/>
          <w:color w:val="FF0000"/>
          <w:sz w:val="28"/>
          <w:szCs w:val="28"/>
        </w:rPr>
      </w:pPr>
    </w:p>
    <w:p w14:paraId="08A4280F">
      <w:pPr>
        <w:spacing w:line="360" w:lineRule="auto"/>
        <w:ind w:firstLine="1120" w:firstLineChars="400"/>
        <w:rPr>
          <w:rFonts w:ascii="Times New Roman" w:hAnsi="Times New Roman" w:eastAsia="宋体"/>
          <w:color w:val="000000" w:themeColor="text1"/>
          <w:sz w:val="28"/>
          <w:szCs w:val="28"/>
          <w14:textFill>
            <w14:solidFill>
              <w14:schemeClr w14:val="tx1"/>
            </w14:solidFill>
          </w14:textFill>
        </w:rPr>
      </w:pPr>
    </w:p>
    <w:p w14:paraId="493C897E">
      <w:pPr>
        <w:spacing w:line="360" w:lineRule="auto"/>
        <w:ind w:firstLine="1120" w:firstLineChars="400"/>
        <w:rPr>
          <w:rFonts w:ascii="Times New Roman" w:hAnsi="Times New Roman" w:eastAsia="宋体"/>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inheri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AA153A"/>
    <w:rsid w:val="155147A7"/>
    <w:rsid w:val="177F3713"/>
    <w:rsid w:val="24222300"/>
    <w:rsid w:val="363C1DEC"/>
    <w:rsid w:val="448858FB"/>
    <w:rsid w:val="54427957"/>
    <w:rsid w:val="66F064F9"/>
    <w:rsid w:val="6D10674C"/>
    <w:rsid w:val="7F221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Hyperlink"/>
    <w:basedOn w:val="4"/>
    <w:qFormat/>
    <w:uiPriority w:val="0"/>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1717</Words>
  <Characters>1794</Characters>
  <Lines>14</Lines>
  <Paragraphs>3</Paragraphs>
  <TotalTime>2</TotalTime>
  <ScaleCrop>false</ScaleCrop>
  <LinksUpToDate>false</LinksUpToDate>
  <CharactersWithSpaces>1816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2025-08-31T16:05:00Z</dcterms:created>
  <dc:creator>柚心</dc:creator>
  <cp:lastModifiedBy>小雅菇凉</cp:lastModifiedBy>
  <cp:lastPrinted>2026-09-20T02:35:00Z</cp:lastPrinted>
  <dcterms:modified xsi:type="dcterms:W3CDTF">2026-09-22T01:42:14Z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E87C968CA7BD4CB698AF84B18AB2DF98_13</vt:lpwstr>
  </property>
  <property fmtid="{D5CDD505-2E9C-101B-9397-08002B2CF9AE}" pid="4" name="KSOTemplateDocerSaveRecord">
    <vt:lpwstr>eyJoZGlkIjoiMWExMDM2MGFiMGY3MmViMTA1ZDExNGRiOTJmMTY2MjQiLCJ1c2VySWQiOiIyNTQ0Nzk1NzcifQ==</vt:lpwstr>
  </property>
</Properties>
</file>