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311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rPr>
      </w:pPr>
    </w:p>
    <w:p w14:paraId="5A0FD6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rPr>
      </w:pPr>
    </w:p>
    <w:p w14:paraId="2CB78C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rPr>
      </w:pPr>
    </w:p>
    <w:p w14:paraId="189D21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rPr>
      </w:pPr>
    </w:p>
    <w:p w14:paraId="5F1C90A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Cs w:val="32"/>
          <w:highlight w:val="none"/>
        </w:rPr>
      </w:pPr>
    </w:p>
    <w:p w14:paraId="65E681F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highlight w:val="none"/>
          <w:lang w:eastAsia="zh-CN"/>
        </w:rPr>
      </w:pPr>
      <w:r>
        <w:rPr>
          <w:rFonts w:hint="eastAsia" w:ascii="仿宋" w:hAnsi="仿宋" w:eastAsia="仿宋" w:cs="仿宋"/>
          <w:szCs w:val="32"/>
          <w:highlight w:val="none"/>
          <w:lang w:eastAsia="zh-CN"/>
        </w:rPr>
        <w:t>皖工教发〔2026〕1</w:t>
      </w:r>
      <w:r>
        <w:rPr>
          <w:rFonts w:hint="eastAsia" w:ascii="仿宋" w:hAnsi="仿宋" w:eastAsia="仿宋" w:cs="仿宋"/>
          <w:szCs w:val="32"/>
          <w:highlight w:val="none"/>
          <w:lang w:val="en-US" w:eastAsia="zh-CN"/>
        </w:rPr>
        <w:t>08</w:t>
      </w:r>
      <w:r>
        <w:rPr>
          <w:rFonts w:hint="eastAsia" w:ascii="仿宋" w:hAnsi="仿宋" w:eastAsia="仿宋" w:cs="仿宋"/>
          <w:szCs w:val="32"/>
          <w:highlight w:val="none"/>
          <w:lang w:eastAsia="zh-CN"/>
        </w:rPr>
        <w:t>号</w:t>
      </w:r>
    </w:p>
    <w:p w14:paraId="5714505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lang w:eastAsia="zh-CN"/>
        </w:rPr>
      </w:pPr>
    </w:p>
    <w:p w14:paraId="415A3C1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Cs w:val="32"/>
          <w:lang w:eastAsia="zh-CN"/>
        </w:rPr>
      </w:pPr>
    </w:p>
    <w:p w14:paraId="3DC04A8C">
      <w:pPr>
        <w:keepNext w:val="0"/>
        <w:keepLines w:val="0"/>
        <w:pageBreakBefore w:val="0"/>
        <w:widowControl w:val="0"/>
        <w:tabs>
          <w:tab w:val="left" w:pos="4962"/>
        </w:tabs>
        <w:kinsoku/>
        <w:wordWrap/>
        <w:overflowPunct/>
        <w:topLinePunct w:val="0"/>
        <w:autoSpaceDE/>
        <w:autoSpaceDN/>
        <w:bidi w:val="0"/>
        <w:adjustRightInd/>
        <w:snapToGrid/>
        <w:spacing w:after="0" w:line="640" w:lineRule="exact"/>
        <w:jc w:val="center"/>
        <w:textAlignment w:val="auto"/>
        <w:rPr>
          <w:rFonts w:hint="eastAsia" w:ascii="宋体" w:hAnsi="宋体" w:eastAsia="宋体" w:cs="宋体"/>
          <w:b/>
          <w:kern w:val="2"/>
          <w:sz w:val="44"/>
          <w:szCs w:val="44"/>
          <w:lang w:eastAsia="zh-CN"/>
        </w:rPr>
      </w:pPr>
      <w:r>
        <w:rPr>
          <w:rFonts w:ascii="宋体" w:hAnsi="宋体" w:eastAsia="宋体" w:cs="宋体"/>
          <w:b/>
          <w:kern w:val="2"/>
          <w:sz w:val="44"/>
          <w:szCs w:val="44"/>
          <w:lang w:eastAsia="zh-CN"/>
        </w:rPr>
        <w:t>关于举办2026年安徽省</w:t>
      </w:r>
      <w:r>
        <w:rPr>
          <w:rFonts w:hint="eastAsia" w:ascii="宋体" w:hAnsi="宋体" w:eastAsia="宋体" w:cs="宋体"/>
          <w:b/>
          <w:kern w:val="2"/>
          <w:sz w:val="44"/>
          <w:szCs w:val="44"/>
          <w:lang w:eastAsia="zh-CN"/>
        </w:rPr>
        <w:t>高校企业竞争模拟大赛</w:t>
      </w:r>
      <w:r>
        <w:rPr>
          <w:rFonts w:ascii="宋体" w:hAnsi="宋体" w:eastAsia="宋体" w:cs="宋体"/>
          <w:b/>
          <w:kern w:val="2"/>
          <w:sz w:val="44"/>
          <w:szCs w:val="44"/>
          <w:lang w:eastAsia="zh-CN"/>
        </w:rPr>
        <w:t>校赛的通知</w:t>
      </w:r>
    </w:p>
    <w:p w14:paraId="14F8B0EF">
      <w:pPr>
        <w:keepNext w:val="0"/>
        <w:keepLines w:val="0"/>
        <w:pageBreakBefore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lang w:eastAsia="zh-CN"/>
        </w:rPr>
      </w:pPr>
    </w:p>
    <w:p w14:paraId="23A86CA9">
      <w:pPr>
        <w:keepNext w:val="0"/>
        <w:keepLines w:val="0"/>
        <w:pageBreakBefore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lang w:eastAsia="zh-CN"/>
        </w:rPr>
      </w:pPr>
      <w:r>
        <w:rPr>
          <w:rFonts w:hint="eastAsia" w:ascii="仿宋" w:hAnsi="仿宋" w:eastAsia="仿宋" w:cs="仿宋"/>
          <w:lang w:eastAsia="zh-CN"/>
        </w:rPr>
        <w:t>各学院：</w:t>
      </w:r>
    </w:p>
    <w:p w14:paraId="0F5D4CD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lang w:eastAsia="zh-CN"/>
        </w:rPr>
      </w:pPr>
      <w:r>
        <w:rPr>
          <w:rFonts w:hint="eastAsia" w:ascii="仿宋" w:hAnsi="仿宋" w:eastAsia="仿宋" w:cs="仿宋"/>
          <w:lang w:eastAsia="zh-CN"/>
        </w:rPr>
        <w:t>为深入贯彻党的二十大和二十届历次全会精神，主动服务学字经济高质量发展与商科类专业教学改革需求，深化产融合、科教融汇，推动高校学生将企业战略管理、市场管销、财税管理、运营分析等理现论处知识应用于模拟经营实践，提升学生的数据据分析能力、商业决策能力、提升分析等的数据分析能力和商业决策能力、团队协作能力和创新业意识，根据《2026年安徽省高校企业竞争模拟大赛规程》要求，学校将组织开办2026年安微省高校企业竞争模拟大赛校赛，选择优秀队伍参加省级比赛。现将有关事项通知如下：</w:t>
      </w:r>
    </w:p>
    <w:p w14:paraId="0959857D">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一、赛事简介</w:t>
      </w:r>
    </w:p>
    <w:p w14:paraId="4A62B46C">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安徽省大学生高校企业竞争模拟大赛以团体赛形式进行，依据企业管理岗位设置角色，让学生在“管理”中学习管理。学生在复杂多变的市场环境中，面对多个竞争对手，通过多期企业经营分析，制定科学的经营决策，最终达成企业的战略目标。该赛项要求所有参赛选手在复杂多变的市场环境中，面对多个企业竞争主体，通过经营分析、经营决策和企业运营，实现企业价值最大化，赛项重在考察参赛团队的市场环境分析、SWOT分析、企业战略决策、营销决策、人力资源决策、科技研发决策、采购与仓储决策、生产决策、财务分析、投融资决策等工商企业管理专业的核心技能，检验学生应变能力，以及分析问题、解决问题和实际动手能力，培养学生的团队协作精神。</w:t>
      </w:r>
    </w:p>
    <w:p w14:paraId="47B06CEC">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二、组织单位</w:t>
      </w:r>
    </w:p>
    <w:p w14:paraId="564F83D5">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主办单位：皖江工学院教务处</w:t>
      </w:r>
    </w:p>
    <w:p w14:paraId="43816403">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承办单位：皖江工学院财经学院</w:t>
      </w:r>
    </w:p>
    <w:p w14:paraId="55E69491">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竞赛负责人：丁兄妹</w:t>
      </w:r>
    </w:p>
    <w:p w14:paraId="09DE517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三、参赛对象</w:t>
      </w:r>
    </w:p>
    <w:p w14:paraId="30E85DC8">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皖江工学院全日制在校学生，所读专业须为经济类、管理类，鼓励跨专业自由组队参赛。</w:t>
      </w:r>
    </w:p>
    <w:p w14:paraId="5D629ECA">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四、竞赛形式</w:t>
      </w:r>
    </w:p>
    <w:p w14:paraId="2B72A31F">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（一）组队规则</w:t>
      </w:r>
    </w:p>
    <w:p w14:paraId="67E899C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1.报名网站：https://bm.bizsand.cn</w:t>
      </w:r>
    </w:p>
    <w:p w14:paraId="61604600">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2.报名具体流程</w:t>
      </w:r>
    </w:p>
    <w:p w14:paraId="456A5E9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（1）注册账号：团队成员及指导老师均须在报名网站先注册账号。</w:t>
      </w:r>
    </w:p>
    <w:p w14:paraId="1CBCAD7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2）网上报名：队长（CEO）代表本团队在报名网站选择对应赛道报名。队长点击“赛事报名”－选择“赛事名称”－“选择赛组”－“确认队长信息”－“填写团队信息”－“邀请成员”－“等待确认邀请”－“提交报名”。报名操作依据网页提示填写报名信息。参赛团队名不超过10个汉字或20个英文字符，要求团队名称体现积极向上，符合社会主义核心价值观。</w:t>
      </w:r>
    </w:p>
    <w:p w14:paraId="0D576E7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kern w:val="2"/>
          <w:szCs w:val="32"/>
          <w:lang w:eastAsia="zh-CN"/>
        </w:rPr>
      </w:pPr>
      <w:r>
        <w:rPr>
          <w:rFonts w:hint="eastAsia" w:ascii="仿宋" w:hAnsi="仿宋" w:eastAsia="仿宋" w:cs="仿宋"/>
          <w:kern w:val="2"/>
          <w:szCs w:val="32"/>
          <w:lang w:eastAsia="zh-CN"/>
        </w:rPr>
        <w:t>（3）完善和提交报名：报名团队信息提交后，队长及时提醒队员和指导老师登录报名网站并接受组队邀请，团队成员全部接受邀请后，队长提交报名，即完成网上报名。报名结束前若需要修改报名信息，队长可以撤回/重组报名，以及调整队员次序等操作。</w:t>
      </w:r>
    </w:p>
    <w:p w14:paraId="6E34D870">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（二）竞赛内容</w:t>
      </w:r>
    </w:p>
    <w:p w14:paraId="7C603666">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本届竞赛包括企业决策、企业运营和供应链决策三个赛道。</w:t>
      </w:r>
      <w:r>
        <w:rPr>
          <w:rFonts w:hint="eastAsia" w:ascii="仿宋" w:hAnsi="仿宋" w:eastAsia="仿宋" w:cs="仿宋"/>
          <w:b/>
          <w:bCs/>
          <w:lang w:eastAsia="zh-CN"/>
        </w:rPr>
        <w:t>每只队伍只能</w:t>
      </w:r>
      <w:r>
        <w:rPr>
          <w:rFonts w:hint="eastAsia" w:ascii="仿宋" w:hAnsi="仿宋" w:eastAsia="仿宋" w:cs="仿宋"/>
          <w:b/>
          <w:bCs/>
          <w:lang w:eastAsia="zh-CN"/>
        </w:rPr>
        <w:t>选择一个赛道参加</w:t>
      </w:r>
      <w:r>
        <w:rPr>
          <w:rFonts w:hint="eastAsia" w:ascii="仿宋" w:hAnsi="仿宋" w:eastAsia="仿宋" w:cs="仿宋"/>
          <w:b/>
          <w:bCs/>
          <w:lang w:eastAsia="zh-CN"/>
        </w:rPr>
        <w:t>。</w:t>
      </w:r>
    </w:p>
    <w:p w14:paraId="1213CEAF">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1.企业决策赛道   采用iBizSim企业竞争模拟系统进行比赛。每个参赛团队代表一个虚拟企业，决策模拟按期（季度）进行，各公司需要在制定长期战略规划的基础上，在每季度初制订本季度的经营决策，包括生产、运输、市场营销、财务管理、人力资源管理、研究开发、战略发展等。软件根据各企业在多方面的经营业绩评定综合成绩。系统综合评价指标包括本期利润、市场占有率、累计纳税、累计分红、净资产、人均利润率、资本利润率。</w:t>
      </w:r>
    </w:p>
    <w:p w14:paraId="1CECCB25">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比赛网址：https://www.ibizsim.cn。</w:t>
      </w:r>
    </w:p>
    <w:p w14:paraId="433A0D6D">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2.企业运营赛道   采用BizWar企业经营竞争模拟软件进行比赛。在商业环境中，每个参赛团队代表一个虚拟企业参与市场竞争，企业运营按期（季度）进行，各公司需要在期初，制订本季度的经营决策，包括产品研发、财务管理、经销商管理、工人管理、生产管理、采购管理、库存管理、运输交货管理等。软件评定指标包括上期分数、普通股股东权益、本期销售收入、本期净利润、本期人均净利润、本期投资回报率、累积纳税、累积普通股股利等。</w:t>
      </w:r>
    </w:p>
    <w:p w14:paraId="2521F746">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比赛网址：https://www.bizwar.cn。</w:t>
      </w:r>
    </w:p>
    <w:p w14:paraId="231808C1">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3.供应链决策赛道   采用BizSand供应链决策模拟软件。每个参赛团队代表一个虚拟企业，供应链决策赛道是用于经管类各专业实训的商战模拟，要求学生运用学科专业知识进行分析决策，通过模拟实验了解企业在供应链条件下经营决策的形成过程及如何全方位考虑决策的影响因素，包括企业战略与供应链战略、供应商管理、采购管理、生产管理、物流管理、客户管理、财务管理等，软件根据各企业投资回报率（ROI）、总利润规模等各项指标进行评判。</w:t>
      </w:r>
    </w:p>
    <w:p w14:paraId="6C14A329">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比赛网址：</w:t>
      </w:r>
      <w:r>
        <w:rPr>
          <w:rFonts w:hint="eastAsia" w:ascii="仿宋" w:hAnsi="仿宋" w:eastAsia="仿宋" w:cs="仿宋"/>
        </w:rPr>
        <w:fldChar w:fldCharType="begin"/>
      </w:r>
      <w:r>
        <w:rPr>
          <w:rFonts w:hint="eastAsia" w:ascii="仿宋" w:hAnsi="仿宋" w:eastAsia="仿宋" w:cs="仿宋"/>
        </w:rPr>
        <w:instrText xml:space="preserve"> HYPERLINK "https://sc.bizsand.cn。" </w:instrText>
      </w:r>
      <w:r>
        <w:rPr>
          <w:rFonts w:hint="eastAsia" w:ascii="仿宋" w:hAnsi="仿宋" w:eastAsia="仿宋" w:cs="仿宋"/>
        </w:rPr>
        <w:fldChar w:fldCharType="separate"/>
      </w:r>
      <w:r>
        <w:rPr>
          <w:rStyle w:val="136"/>
          <w:rFonts w:hint="eastAsia" w:ascii="仿宋" w:hAnsi="仿宋" w:eastAsia="仿宋" w:cs="仿宋"/>
          <w:lang w:eastAsia="zh-CN"/>
        </w:rPr>
        <w:t>https://sc.bizsand.cn。</w:t>
      </w:r>
      <w:r>
        <w:rPr>
          <w:rStyle w:val="136"/>
          <w:rFonts w:hint="eastAsia" w:ascii="仿宋" w:hAnsi="仿宋" w:eastAsia="仿宋" w:cs="仿宋"/>
          <w:lang w:eastAsia="zh-CN"/>
        </w:rPr>
        <w:fldChar w:fldCharType="end"/>
      </w:r>
    </w:p>
    <w:p w14:paraId="7BEEB558">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lang w:eastAsia="zh-CN"/>
        </w:rPr>
      </w:pPr>
      <w:r>
        <w:rPr>
          <w:rFonts w:hint="eastAsia" w:ascii="仿宋" w:hAnsi="仿宋" w:eastAsia="仿宋" w:cs="仿宋"/>
          <w:b/>
          <w:lang w:eastAsia="zh-CN"/>
        </w:rPr>
        <w:t>（三）竞赛安排及流程</w:t>
      </w:r>
    </w:p>
    <w:p w14:paraId="0FAFE3FD">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本次大赛分为校内初赛、复赛和决赛三个阶段。</w:t>
      </w:r>
    </w:p>
    <w:p w14:paraId="69CA0D7E">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（一）校内初赛</w:t>
      </w:r>
    </w:p>
    <w:p w14:paraId="0774778A">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由各校自行组织，参赛队伍数量不限。各学校初赛需在2026年10月30日前完成。</w:t>
      </w:r>
    </w:p>
    <w:p w14:paraId="1A1A97AA">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初赛晋级复赛：每所学校每个赛道可推荐不超过10支队伍报名复赛。</w:t>
      </w:r>
    </w:p>
    <w:p w14:paraId="093926E2">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（二）复赛（网络赛）</w:t>
      </w:r>
    </w:p>
    <w:p w14:paraId="70956292">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1.复赛报名截止：2026年11月3日24:00</w:t>
      </w:r>
    </w:p>
    <w:p w14:paraId="2DF37D44">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2.复赛竞赛时间：2026年11月7日</w:t>
      </w:r>
    </w:p>
    <w:p w14:paraId="711967DA">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复赛晋级决赛：每所学校每个赛道经复赛选拔分别不超过5支队伍进入决赛。比赛三个赛道复赛同步进行，一天内完成。</w:t>
      </w:r>
    </w:p>
    <w:p w14:paraId="76B20157">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3.复赛赛制说明</w:t>
      </w:r>
    </w:p>
    <w:p w14:paraId="25EA5D38">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1）企业决策及企业运营赛道均为6+1赛制，第1期90分钟，其余每期40分钟。每个赛道是否加赛，依据各赛道本科组第1赛区第6期期末排名第一的队伍综合评分来确定，综合评分小数点后第三位是奇数，则统一加赛第7期；反之，比赛结束。</w:t>
      </w:r>
    </w:p>
    <w:p w14:paraId="2B06F580">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（2）供应链决策赛道为6+1赛制，第1期60分钟，其余每期30分钟。是否加赛，依据本科组第1赛区第6期期末排名第一的队伍当期ROI来确定，小数点后第二位是奇数，则统一加赛做第7期；反之，比赛结束。</w:t>
      </w:r>
    </w:p>
    <w:p w14:paraId="45050644">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（三）决赛（网络赛）</w:t>
      </w:r>
    </w:p>
    <w:p w14:paraId="6CCE4594">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1.决赛时间：2026年11月21日。</w:t>
      </w:r>
    </w:p>
    <w:p w14:paraId="405027AA">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2.决赛赛制：比赛三个赛道决赛同步进行，一天内完成。</w:t>
      </w:r>
    </w:p>
    <w:p w14:paraId="5E0E89FC">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（1）企业决策及企业运营赛道均为6+1赛制，第1期60分钟，其余每期30分钟。每个赛道是否加赛，依据各赛道加赛基准赛区第6期期末排名第一的队伍综合评分来确定。</w:t>
      </w:r>
    </w:p>
    <w:p w14:paraId="6ED07198">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Cs/>
          <w:lang w:eastAsia="zh-CN"/>
        </w:rPr>
      </w:pPr>
      <w:r>
        <w:rPr>
          <w:rFonts w:hint="eastAsia" w:ascii="仿宋" w:hAnsi="仿宋" w:eastAsia="仿宋" w:cs="仿宋"/>
          <w:bCs/>
          <w:lang w:eastAsia="zh-CN"/>
        </w:rPr>
        <w:t>（2）供应链决策赛道为6+1赛制，第1期60分钟，其余每期30分钟。是否加赛，依据加赛基准赛区第6期期末排名第一的队伍当期ROI来确定。</w:t>
      </w:r>
    </w:p>
    <w:p w14:paraId="4DA2C762">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（四）校赛认定规则</w:t>
      </w:r>
    </w:p>
    <w:p w14:paraId="78C7DB7B">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校赛成绩由学院组织专家组完成评定，根据校赛成绩排序每个赛道认定5支队伍，推荐参加省级总决赛。</w:t>
      </w:r>
    </w:p>
    <w:p w14:paraId="263BF891">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五、赛程时间</w:t>
      </w:r>
    </w:p>
    <w:p w14:paraId="65BBA851">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校内选拔赛：2026年10月30日前完成</w:t>
      </w:r>
    </w:p>
    <w:p w14:paraId="6B351CDD">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省赛复赛报名：2026年11月3日24时截止</w:t>
      </w:r>
    </w:p>
    <w:p w14:paraId="6FA14AA2">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省级总决赛：2026年11月21日举办</w:t>
      </w:r>
    </w:p>
    <w:p w14:paraId="19B92EE7">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 w:hAnsi="仿宋" w:eastAsia="仿宋" w:cs="仿宋"/>
          <w:b/>
          <w:bCs/>
          <w:kern w:val="2"/>
          <w:szCs w:val="32"/>
          <w:lang w:eastAsia="zh-CN"/>
        </w:rPr>
      </w:pPr>
      <w:r>
        <w:rPr>
          <w:rFonts w:hint="eastAsia" w:ascii="仿宋" w:hAnsi="仿宋" w:eastAsia="仿宋" w:cs="仿宋"/>
          <w:b/>
          <w:bCs/>
          <w:kern w:val="2"/>
          <w:szCs w:val="32"/>
          <w:lang w:eastAsia="zh-CN"/>
        </w:rPr>
        <w:t>六、相关说明</w:t>
      </w:r>
    </w:p>
    <w:p w14:paraId="704905BE">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（一）奖项设置：团体等级一等奖、二等奖、三等奖。</w:t>
      </w:r>
    </w:p>
    <w:p w14:paraId="3C6E4235">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1.团体等级奖以报名复赛队伍总数为基数，获奖总比例不超过60%，一二三等奖获奖比例分别不超过10%、20%、30%。</w:t>
      </w:r>
    </w:p>
    <w:p w14:paraId="6CEED294">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（二）学院将做好赛事咨询、政策解读、参赛动员工作，同学们在备赛过程中有疑问，可联系学院竞赛负责老师咨询。</w:t>
      </w:r>
    </w:p>
    <w:p w14:paraId="2111641D">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（三）希望广大同学积极踊跃报名，充分发挥专业所学，大胆创新，高质量完成参赛准备，借助本次大赛锤炼专业实践本领，展现财经学子良好风貌。</w:t>
      </w:r>
    </w:p>
    <w:p w14:paraId="333A7930">
      <w:pPr>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 w:hAnsi="仿宋" w:eastAsia="仿宋" w:cs="仿宋"/>
          <w:lang w:eastAsia="zh-CN"/>
        </w:rPr>
      </w:pPr>
      <w:r>
        <w:rPr>
          <w:rFonts w:hint="eastAsia" w:ascii="仿宋" w:hAnsi="仿宋" w:eastAsia="仿宋" w:cs="仿宋"/>
          <w:lang w:eastAsia="zh-CN"/>
        </w:rPr>
        <w:t>（四）请参赛同学加入校赛官方QQ群：</w:t>
      </w:r>
    </w:p>
    <w:p w14:paraId="6547F94E">
      <w:pPr>
        <w:spacing w:after="0" w:line="240" w:lineRule="auto"/>
        <w:jc w:val="center"/>
        <w:rPr>
          <w:lang w:eastAsia="zh-CN"/>
        </w:rPr>
      </w:pPr>
      <w:r>
        <w:rPr>
          <w:lang w:eastAsia="zh-CN"/>
        </w:rPr>
        <w:drawing>
          <wp:inline distT="0" distB="0" distL="114300" distR="114300">
            <wp:extent cx="2157095" cy="2028190"/>
            <wp:effectExtent l="0" t="0" r="0" b="0"/>
            <wp:docPr id="1" name="图片 1" descr="qrcode_178997918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_1789979180360"/>
                    <pic:cNvPicPr>
                      <a:picLocks noChangeAspect="1"/>
                    </pic:cNvPicPr>
                  </pic:nvPicPr>
                  <pic:blipFill>
                    <a:blip r:embed="rId7"/>
                    <a:srcRect l="9274" t="29394" r="8942" b="27352"/>
                    <a:stretch>
                      <a:fillRect/>
                    </a:stretch>
                  </pic:blipFill>
                  <pic:spPr>
                    <a:xfrm>
                      <a:off x="0" y="0"/>
                      <a:ext cx="2157095" cy="2028190"/>
                    </a:xfrm>
                    <a:prstGeom prst="rect">
                      <a:avLst/>
                    </a:prstGeom>
                  </pic:spPr>
                </pic:pic>
              </a:graphicData>
            </a:graphic>
          </wp:inline>
        </w:drawing>
      </w:r>
    </w:p>
    <w:p w14:paraId="1534217F">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0BF5B7CB">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6C989221">
      <w:pPr>
        <w:keepNext w:val="0"/>
        <w:keepLines w:val="0"/>
        <w:pageBreakBefore w:val="0"/>
        <w:widowControl/>
        <w:kinsoku/>
        <w:wordWrap/>
        <w:overflowPunct/>
        <w:topLinePunct w:val="0"/>
        <w:autoSpaceDE/>
        <w:autoSpaceDN/>
        <w:bidi w:val="0"/>
        <w:adjustRightInd/>
        <w:snapToGrid/>
        <w:spacing w:after="0" w:line="560" w:lineRule="exact"/>
        <w:jc w:val="right"/>
        <w:textAlignment w:val="auto"/>
      </w:pPr>
    </w:p>
    <w:p w14:paraId="342ADC59">
      <w:pPr>
        <w:keepNext w:val="0"/>
        <w:keepLines w:val="0"/>
        <w:pageBreakBefore w:val="0"/>
        <w:widowControl/>
        <w:kinsoku/>
        <w:wordWrap/>
        <w:overflowPunct/>
        <w:topLinePunct w:val="0"/>
        <w:autoSpaceDE/>
        <w:autoSpaceDN/>
        <w:bidi w:val="0"/>
        <w:adjustRightInd/>
        <w:snapToGrid/>
        <w:spacing w:after="0" w:line="560" w:lineRule="exact"/>
        <w:jc w:val="right"/>
        <w:textAlignment w:val="auto"/>
        <w:rPr>
          <w:lang w:eastAsia="zh-CN"/>
        </w:rPr>
      </w:pPr>
      <w:r>
        <w:rPr>
          <w:lang w:eastAsia="zh-CN"/>
        </w:rPr>
        <w:t>皖江工学院教务处</w:t>
      </w:r>
    </w:p>
    <w:p w14:paraId="6B540C95">
      <w:pPr>
        <w:keepNext w:val="0"/>
        <w:keepLines w:val="0"/>
        <w:pageBreakBefore w:val="0"/>
        <w:widowControl/>
        <w:kinsoku/>
        <w:wordWrap/>
        <w:overflowPunct/>
        <w:topLinePunct w:val="0"/>
        <w:autoSpaceDE/>
        <w:autoSpaceDN/>
        <w:bidi w:val="0"/>
        <w:adjustRightInd/>
        <w:snapToGrid/>
        <w:spacing w:after="240" w:line="560" w:lineRule="exact"/>
        <w:jc w:val="right"/>
        <w:textAlignment w:val="auto"/>
        <w:rPr>
          <w:lang w:eastAsia="zh-CN"/>
        </w:rPr>
      </w:pPr>
      <w:r>
        <w:rPr>
          <w:lang w:eastAsia="zh-CN"/>
        </w:rPr>
        <w:t>2026年9月2</w:t>
      </w:r>
      <w:r>
        <w:rPr>
          <w:rFonts w:hint="eastAsia"/>
          <w:lang w:eastAsia="zh-CN"/>
        </w:rPr>
        <w:t>2</w:t>
      </w:r>
      <w:r>
        <w:rPr>
          <w:lang w:eastAsia="zh-CN"/>
        </w:rPr>
        <w:t>日</w:t>
      </w:r>
    </w:p>
    <w:p w14:paraId="1273B08F">
      <w:pPr>
        <w:keepNext w:val="0"/>
        <w:keepLines w:val="0"/>
        <w:pageBreakBefore w:val="0"/>
        <w:widowControl/>
        <w:kinsoku/>
        <w:wordWrap/>
        <w:overflowPunct/>
        <w:topLinePunct w:val="0"/>
        <w:autoSpaceDE/>
        <w:autoSpaceDN/>
        <w:bidi w:val="0"/>
        <w:adjustRightInd/>
        <w:snapToGrid/>
        <w:spacing w:line="560" w:lineRule="exact"/>
        <w:ind w:firstLine="5760" w:firstLineChars="1800"/>
        <w:jc w:val="right"/>
        <w:textAlignment w:val="auto"/>
        <w:rPr>
          <w:rFonts w:hint="eastAsia" w:ascii="仿宋" w:hAnsi="仿宋" w:eastAsia="仿宋" w:cs="仿宋"/>
          <w:szCs w:val="32"/>
          <w:lang w:eastAsia="zh-CN"/>
        </w:rPr>
      </w:pPr>
    </w:p>
    <w:p w14:paraId="7B491E4F">
      <w:pPr>
        <w:spacing w:line="620" w:lineRule="exact"/>
        <w:ind w:firstLine="5760" w:firstLineChars="1800"/>
        <w:jc w:val="right"/>
        <w:rPr>
          <w:rFonts w:hint="eastAsia" w:ascii="仿宋" w:hAnsi="仿宋" w:eastAsia="仿宋" w:cs="仿宋"/>
          <w:szCs w:val="32"/>
          <w:lang w:eastAsia="zh-CN"/>
        </w:rPr>
      </w:pPr>
    </w:p>
    <w:p w14:paraId="3F1CBE07">
      <w:pPr>
        <w:spacing w:line="620" w:lineRule="exact"/>
        <w:ind w:firstLine="5760" w:firstLineChars="1800"/>
        <w:jc w:val="right"/>
        <w:rPr>
          <w:rFonts w:hint="eastAsia" w:ascii="仿宋" w:hAnsi="仿宋" w:eastAsia="仿宋" w:cs="仿宋"/>
          <w:szCs w:val="32"/>
          <w:lang w:eastAsia="zh-CN"/>
        </w:rPr>
      </w:pPr>
    </w:p>
    <w:p w14:paraId="4CB2D9CD">
      <w:pPr>
        <w:spacing w:line="620" w:lineRule="exact"/>
        <w:ind w:firstLine="5760" w:firstLineChars="1800"/>
        <w:jc w:val="right"/>
        <w:rPr>
          <w:rFonts w:hint="eastAsia" w:ascii="仿宋" w:hAnsi="仿宋" w:eastAsia="仿宋" w:cs="仿宋"/>
          <w:szCs w:val="32"/>
          <w:lang w:eastAsia="zh-CN"/>
        </w:rPr>
      </w:pPr>
      <w:bookmarkStart w:id="0" w:name="_GoBack"/>
      <w:bookmarkEnd w:id="0"/>
    </w:p>
    <w:p w14:paraId="045A5D5A">
      <w:pPr>
        <w:widowControl w:val="0"/>
        <w:spacing w:line="620" w:lineRule="exact"/>
        <w:jc w:val="both"/>
        <w:outlineLvl w:val="0"/>
        <w:rPr>
          <w:rFonts w:hint="eastAsia" w:ascii="仿宋" w:hAnsi="仿宋" w:eastAsia="仿宋" w:cs="仿宋"/>
          <w:szCs w:val="32"/>
          <w:lang w:eastAsia="zh-CN"/>
        </w:rPr>
      </w:pPr>
    </w:p>
    <w:p w14:paraId="19BBEAF0">
      <w:pPr>
        <w:widowControl w:val="0"/>
        <w:spacing w:line="620" w:lineRule="exact"/>
        <w:jc w:val="both"/>
        <w:outlineLvl w:val="0"/>
        <w:rPr>
          <w:rFonts w:hint="eastAsia" w:ascii="仿宋" w:hAnsi="仿宋" w:eastAsia="仿宋" w:cs="仿宋"/>
          <w:szCs w:val="32"/>
          <w:lang w:eastAsia="zh-CN"/>
        </w:rPr>
      </w:pPr>
    </w:p>
    <w:p w14:paraId="5930B73A">
      <w:pPr>
        <w:spacing w:line="540" w:lineRule="exact"/>
        <w:ind w:firstLine="280" w:firstLineChars="100"/>
        <w:rPr>
          <w:lang w:eastAsia="zh-CN"/>
        </w:rPr>
      </w:pPr>
      <w:r>
        <w:rPr>
          <w:rFonts w:hint="eastAsia"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359410</wp:posOffset>
                </wp:positionV>
                <wp:extent cx="5264150" cy="9525"/>
                <wp:effectExtent l="0" t="0" r="0" b="0"/>
                <wp:wrapNone/>
                <wp:docPr id="3" name="直接连接符 3"/>
                <wp:cNvGraphicFramePr/>
                <a:graphic xmlns:a="http://schemas.openxmlformats.org/drawingml/2006/main">
                  <a:graphicData uri="http://schemas.microsoft.com/office/word/2010/wordprocessingShape">
                    <wps:wsp>
                      <wps:cNvCnPr/>
                      <wps:spPr>
                        <a:xfrm>
                          <a:off x="0" y="0"/>
                          <a:ext cx="5264150" cy="952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28.3pt;height:0.75pt;width:414.5pt;z-index:251659264;mso-width-relative:page;mso-height-relative:page;" filled="f" stroked="t" coordsize="21600,21600" o:gfxdata="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3&#10;x2Cw1AAAAAYBAAAPAAAAAAAAAAEAIAAAACIAAABkcnMvZG93bnJldi54bWxQSwECFAAUAAAACACH&#10;TuJAkwP2yu8BAADpAwAADgAAAAAAAAABACAAAAAjAQAAZHJzL2Uyb0RvYy54bWxQSwUGAAAAAAYA&#10;BgBZAQAAhAUAAAAA&#10;">
                <v:fill on="f" focussize="0,0"/>
                <v:stroke color="#000000" joinstyle="round"/>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264150" cy="12065"/>
                <wp:effectExtent l="0" t="4445" r="12700" b="12065"/>
                <wp:wrapNone/>
                <wp:docPr id="2" name="直接连接符 2"/>
                <wp:cNvGraphicFramePr/>
                <a:graphic xmlns:a="http://schemas.openxmlformats.org/drawingml/2006/main">
                  <a:graphicData uri="http://schemas.microsoft.com/office/word/2010/wordprocessingShape">
                    <wps:wsp>
                      <wps:cNvCnPr/>
                      <wps:spPr>
                        <a:xfrm>
                          <a:off x="0" y="0"/>
                          <a:ext cx="5264150" cy="120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0.4pt;height:0.95pt;width:414.5pt;z-index:251660288;mso-width-relative:page;mso-height-relative:page;" filled="f" stroked="t" coordsize="21600,21600" o:gfxdata="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d+iO0QAAAAQBAAAPAAAAAAAAAAEAIAAAACIAAABkcnMvZG93bnJldi54bWxQSwECFAAUAAAACACH&#10;TuJAuQMVnPIBAADqAwAADgAAAAAAAAABACAAAAAgAQAAZHJzL2Uyb0RvYy54bWxQSwUGAAAAAAYA&#10;BgBZAQAAhAUAAAAA&#10;">
                <v:fill on="f" focussize="0,0"/>
                <v:stroke color="#000000" joinstyle="round"/>
                <v:imagedata o:title=""/>
                <o:lock v:ext="edit" aspectratio="f"/>
              </v:line>
            </w:pict>
          </mc:Fallback>
        </mc:AlternateContent>
      </w:r>
      <w:r>
        <w:rPr>
          <w:rFonts w:hint="eastAsia" w:ascii="仿宋" w:hAnsi="仿宋" w:eastAsia="仿宋" w:cs="仿宋"/>
          <w:sz w:val="28"/>
          <w:szCs w:val="28"/>
          <w:lang w:eastAsia="zh-CN"/>
        </w:rPr>
        <w:t>皖江工学院教务处                     2026年9月2</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日印发</w:t>
      </w:r>
    </w:p>
    <w:sectPr>
      <w:footerReference r:id="rId5" w:type="default"/>
      <w:pgSz w:w="11906" w:h="16838"/>
      <w:pgMar w:top="1440" w:right="1803" w:bottom="1440" w:left="1803"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2CC8C">
    <w:pPr>
      <w:pStyle w:val="2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8384E">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A08384E">
                    <w:pPr>
                      <w:pStyle w:val="2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36190"/>
    <w:rsid w:val="004C16AA"/>
    <w:rsid w:val="004D7687"/>
    <w:rsid w:val="00696EAF"/>
    <w:rsid w:val="00777003"/>
    <w:rsid w:val="00A7134A"/>
    <w:rsid w:val="00AA1D8D"/>
    <w:rsid w:val="00B47730"/>
    <w:rsid w:val="00BB251F"/>
    <w:rsid w:val="00CB0664"/>
    <w:rsid w:val="00E42F14"/>
    <w:rsid w:val="00EF2406"/>
    <w:rsid w:val="00FC693F"/>
    <w:rsid w:val="0761332F"/>
    <w:rsid w:val="12174036"/>
    <w:rsid w:val="1DA10088"/>
    <w:rsid w:val="1ED40276"/>
    <w:rsid w:val="34A208E8"/>
    <w:rsid w:val="3DF76CDA"/>
    <w:rsid w:val="42630CC5"/>
    <w:rsid w:val="474B797A"/>
    <w:rsid w:val="48C46B95"/>
    <w:rsid w:val="61A957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Autospacing="1" w:after="0" w:afterAutospacing="1"/>
    </w:pPr>
    <w:rPr>
      <w:rFonts w:cs="Times New Roman"/>
      <w:sz w:val="24"/>
      <w:lang w:eastAsia="zh-CN"/>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semiHidden/>
    <w:unhideWhenUsed/>
    <w:qFormat/>
    <w:uiPriority w:val="99"/>
    <w:rPr>
      <w:color w:val="0000FF"/>
      <w:u w:val="single"/>
    </w:rPr>
  </w:style>
  <w:style w:type="character" w:customStyle="1" w:styleId="137">
    <w:name w:val="页眉 字符"/>
    <w:basedOn w:val="133"/>
    <w:link w:val="25"/>
    <w:qFormat/>
    <w:uiPriority w:val="99"/>
  </w:style>
  <w:style w:type="character" w:customStyle="1" w:styleId="138">
    <w:name w:val="页脚 字符"/>
    <w:basedOn w:val="133"/>
    <w:link w:val="24"/>
    <w:qFormat/>
    <w:uiPriority w:val="99"/>
  </w:style>
  <w:style w:type="paragraph" w:styleId="139">
    <w:name w:val="No Spacing"/>
    <w:qFormat/>
    <w:uiPriority w:val="1"/>
    <w:rPr>
      <w:rFonts w:asciiTheme="minorHAnsi" w:hAnsiTheme="minorHAnsi" w:eastAsiaTheme="minorEastAsia" w:cstheme="minorBidi"/>
      <w:sz w:val="22"/>
      <w:szCs w:val="22"/>
      <w:lang w:val="en-US" w:eastAsia="en-US" w:bidi="ar-SA"/>
    </w:rPr>
  </w:style>
  <w:style w:type="character" w:customStyle="1" w:styleId="140">
    <w:name w:val="标题 1 字符"/>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标题 2 字符"/>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标题 3 字符"/>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标题 字符"/>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副标题 字符"/>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正文文本 字符"/>
    <w:basedOn w:val="133"/>
    <w:link w:val="19"/>
    <w:qFormat/>
    <w:uiPriority w:val="99"/>
  </w:style>
  <w:style w:type="character" w:customStyle="1" w:styleId="147">
    <w:name w:val="正文文本 2 字符"/>
    <w:basedOn w:val="133"/>
    <w:link w:val="28"/>
    <w:qFormat/>
    <w:uiPriority w:val="99"/>
  </w:style>
  <w:style w:type="character" w:customStyle="1" w:styleId="148">
    <w:name w:val="正文文本 3 字符"/>
    <w:basedOn w:val="133"/>
    <w:link w:val="17"/>
    <w:qFormat/>
    <w:uiPriority w:val="99"/>
    <w:rPr>
      <w:sz w:val="16"/>
      <w:szCs w:val="16"/>
    </w:rPr>
  </w:style>
  <w:style w:type="character" w:customStyle="1" w:styleId="149">
    <w:name w:val="宏文本 字符"/>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引用 字符"/>
    <w:basedOn w:val="133"/>
    <w:link w:val="150"/>
    <w:qFormat/>
    <w:uiPriority w:val="29"/>
    <w:rPr>
      <w:i/>
      <w:iCs/>
      <w:color w:val="000000" w:themeColor="text1"/>
      <w14:textFill>
        <w14:solidFill>
          <w14:schemeClr w14:val="tx1"/>
        </w14:solidFill>
      </w14:textFill>
    </w:rPr>
  </w:style>
  <w:style w:type="character" w:customStyle="1" w:styleId="152">
    <w:name w:val="标题 4 字符"/>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标题 5 字符"/>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标题 6 字符"/>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标题 7 字符"/>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标题 8 字符"/>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标题 9 字符"/>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明显引用 字符"/>
    <w:basedOn w:val="133"/>
    <w:link w:val="158"/>
    <w:qFormat/>
    <w:uiPriority w:val="30"/>
    <w:rPr>
      <w:b/>
      <w:bCs/>
      <w:i/>
      <w:iCs/>
      <w:color w:val="4F81BD" w:themeColor="accent1"/>
      <w14:textFill>
        <w14:solidFill>
          <w14:schemeClr w14:val="accent1"/>
        </w14:solidFill>
      </w14:textFill>
    </w:rPr>
  </w:style>
  <w:style w:type="character" w:customStyle="1" w:styleId="160">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明显强调1"/>
    <w:basedOn w:val="133"/>
    <w:qFormat/>
    <w:uiPriority w:val="21"/>
    <w:rPr>
      <w:b/>
      <w:bCs/>
      <w:i/>
      <w:iCs/>
      <w:color w:val="4F81BD" w:themeColor="accent1"/>
      <w14:textFill>
        <w14:solidFill>
          <w14:schemeClr w14:val="accent1"/>
        </w14:solidFill>
      </w14:textFill>
    </w:rPr>
  </w:style>
  <w:style w:type="character" w:customStyle="1" w:styleId="162">
    <w:name w:val="不明显参考1"/>
    <w:basedOn w:val="133"/>
    <w:qFormat/>
    <w:uiPriority w:val="31"/>
    <w:rPr>
      <w:smallCaps/>
      <w:color w:val="C0504D" w:themeColor="accent2"/>
      <w:u w:val="single"/>
      <w14:textFill>
        <w14:solidFill>
          <w14:schemeClr w14:val="accent2"/>
        </w14:solidFill>
      </w14:textFill>
    </w:rPr>
  </w:style>
  <w:style w:type="character" w:customStyle="1" w:styleId="163">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书籍标题1"/>
    <w:basedOn w:val="133"/>
    <w:qFormat/>
    <w:uiPriority w:val="33"/>
    <w:rPr>
      <w:b/>
      <w:bCs/>
      <w:smallCaps/>
      <w:spacing w:val="5"/>
    </w:rPr>
  </w:style>
  <w:style w:type="paragraph" w:customStyle="1" w:styleId="165">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7</Pages>
  <Words>2578</Words>
  <Characters>2785</Characters>
  <Lines>89</Lines>
  <Paragraphs>62</Paragraphs>
  <TotalTime>255</TotalTime>
  <ScaleCrop>false</ScaleCrop>
  <LinksUpToDate>false</LinksUpToDate>
  <CharactersWithSpaces>2815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2026-09-22T03:01:00Z</dcterms:created>
  <dc:creator>python-docx</dc:creator>
  <dc:description>generated by python-docx</dc:description>
  <cp:lastModifiedBy>心情盒子</cp:lastModifiedBy>
  <cp:lastPrinted>2026-09-22T07:43:50Z</cp:lastPrinted>
  <dcterms:modified xsi:type="dcterms:W3CDTF">2026-09-22T07:45:46Z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eyJoZGlkIjoiOTVkYmM1MDJjMGMwYjczNzM3MDMxNTg4NmM2MGE2MGMiLCJ1c2VySWQiOiI2OTYwMTEyMzUifQ==</vt:lpwstr>
  </property>
  <property fmtid="{D5CDD505-2E9C-101B-9397-08002B2CF9AE}" pid="3" name="KSOProductBuildVer">
    <vt:lpwstr>2052-12.1.0.28505</vt:lpwstr>
  </property>
  <property fmtid="{D5CDD505-2E9C-101B-9397-08002B2CF9AE}" pid="4" name="ICV">
    <vt:lpwstr>2E50840DF2464D61BF59B9F3A441EA41_13</vt:lpwstr>
  </property>
</Properties>
</file>