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91975">
      <w:pPr>
        <w:spacing w:line="360" w:lineRule="auto"/>
        <w:jc w:val="both"/>
        <w:rPr>
          <w:rFonts w:hint="eastAsia"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附件</w:t>
      </w:r>
      <w:r>
        <w:rPr>
          <w:rFonts w:hint="eastAsia" w:ascii="黑体" w:hAnsi="黑体" w:eastAsia="黑体" w:cs="黑体"/>
          <w:b/>
          <w:bCs/>
          <w:color w:val="000000" w:themeColor="text1"/>
          <w:sz w:val="32"/>
          <w:szCs w:val="32"/>
          <w:lang w:val="en-US" w:eastAsia="zh-CN"/>
          <w14:textFill>
            <w14:solidFill>
              <w14:schemeClr w14:val="tx1"/>
            </w14:solidFill>
          </w14:textFill>
        </w:rPr>
        <w:t>5</w:t>
      </w:r>
      <w:bookmarkStart w:id="0" w:name="_GoBack"/>
      <w:bookmarkEnd w:id="0"/>
      <w:r>
        <w:rPr>
          <w:rFonts w:hint="eastAsia" w:ascii="黑体" w:hAnsi="黑体" w:eastAsia="黑体" w:cs="黑体"/>
          <w:b/>
          <w:bCs/>
          <w:color w:val="000000" w:themeColor="text1"/>
          <w:sz w:val="32"/>
          <w:szCs w:val="32"/>
          <w:lang w:val="en-US" w:eastAsia="zh-CN"/>
          <w14:textFill>
            <w14:solidFill>
              <w14:schemeClr w14:val="tx1"/>
            </w14:solidFill>
          </w14:textFill>
        </w:rPr>
        <w:t>：</w:t>
      </w:r>
    </w:p>
    <w:p w14:paraId="4AC1BCF0">
      <w:pPr>
        <w:spacing w:line="360" w:lineRule="auto"/>
        <w:jc w:val="center"/>
        <w:rPr>
          <w:rFonts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4"/>
          <w:szCs w:val="44"/>
          <w14:textFill>
            <w14:solidFill>
              <w14:schemeClr w14:val="tx1"/>
            </w14:solidFill>
          </w14:textFill>
        </w:rPr>
        <w:t>皖江工学院</w:t>
      </w:r>
      <w:r>
        <w:rPr>
          <w:rFonts w:hint="eastAsia" w:ascii="黑体" w:hAnsi="黑体" w:eastAsia="黑体" w:cs="黑体"/>
          <w:b/>
          <w:bCs/>
          <w:color w:val="000000" w:themeColor="text1"/>
          <w:sz w:val="44"/>
          <w:szCs w:val="44"/>
          <w:lang w:val="en-US" w:eastAsia="zh-CN"/>
          <w14:textFill>
            <w14:solidFill>
              <w14:schemeClr w14:val="tx1"/>
            </w14:solidFill>
          </w14:textFill>
        </w:rPr>
        <w:t>基础设施智能健康诊断</w:t>
      </w:r>
      <w:r>
        <w:rPr>
          <w:rFonts w:hint="eastAsia" w:ascii="黑体" w:hAnsi="黑体" w:eastAsia="黑体" w:cs="黑体"/>
          <w:b/>
          <w:bCs/>
          <w:color w:val="000000" w:themeColor="text1"/>
          <w:sz w:val="44"/>
          <w:szCs w:val="44"/>
          <w14:textFill>
            <w14:solidFill>
              <w14:schemeClr w14:val="tx1"/>
            </w14:solidFill>
          </w14:textFill>
        </w:rPr>
        <w:t>微专业招生方案</w:t>
      </w:r>
    </w:p>
    <w:p w14:paraId="33659620">
      <w:pPr>
        <w:spacing w:line="360" w:lineRule="auto"/>
        <w:jc w:val="center"/>
        <w:rPr>
          <w:rFonts w:ascii="黑体" w:hAnsi="黑体" w:eastAsia="黑体" w:cs="黑体"/>
          <w:b/>
          <w:bCs/>
          <w:color w:val="000000" w:themeColor="text1"/>
          <w:sz w:val="44"/>
          <w:szCs w:val="44"/>
          <w14:textFill>
            <w14:solidFill>
              <w14:schemeClr w14:val="tx1"/>
            </w14:solidFill>
          </w14:textFill>
        </w:rPr>
      </w:pPr>
    </w:p>
    <w:p w14:paraId="51D0141B">
      <w:pPr>
        <w:spacing w:line="360" w:lineRule="auto"/>
        <w:ind w:firstLine="643" w:firstLineChars="200"/>
        <w:jc w:val="left"/>
        <w:rPr>
          <w:rFonts w:hint="eastAsia" w:ascii="宋体" w:hAnsi="宋体" w:eastAsia="宋体" w:cs="宋体"/>
          <w:b/>
          <w:bCs/>
          <w:color w:val="FF0000"/>
          <w:sz w:val="32"/>
          <w:szCs w:val="32"/>
        </w:rPr>
      </w:pPr>
      <w:r>
        <w:rPr>
          <w:rFonts w:hint="eastAsia" w:ascii="宋体" w:hAnsi="宋体" w:eastAsia="宋体" w:cs="宋体"/>
          <w:b/>
          <w:bCs/>
          <w:color w:val="000000" w:themeColor="text1"/>
          <w:sz w:val="32"/>
          <w:szCs w:val="32"/>
          <w14:textFill>
            <w14:solidFill>
              <w14:schemeClr w14:val="tx1"/>
            </w14:solidFill>
          </w14:textFill>
        </w:rPr>
        <w:t>一、微专业简介</w:t>
      </w:r>
    </w:p>
    <w:p w14:paraId="55CFF5F9">
      <w:pPr>
        <w:spacing w:line="360" w:lineRule="auto"/>
        <w:ind w:firstLine="560" w:firstLineChars="200"/>
        <w:rPr>
          <w:rFonts w:hint="eastAsia" w:ascii="宋体" w:hAnsi="宋体" w:eastAsia="宋体" w:cs="宋体"/>
          <w:b/>
          <w:bCs/>
          <w:color w:val="FF0000"/>
          <w:sz w:val="28"/>
          <w:szCs w:val="28"/>
        </w:rPr>
      </w:pPr>
      <w:r>
        <w:rPr>
          <w:rFonts w:hint="eastAsia" w:ascii="宋体" w:hAnsi="宋体" w:eastAsia="宋体" w:cs="宋体"/>
          <w:sz w:val="28"/>
          <w:szCs w:val="28"/>
          <w:lang w:val="en-US" w:eastAsia="zh-CN"/>
        </w:rPr>
        <w:t>基础设施智能健康诊断是</w:t>
      </w:r>
      <w:r>
        <w:rPr>
          <w:rFonts w:hint="eastAsia" w:ascii="宋体" w:hAnsi="宋体" w:eastAsia="宋体" w:cs="宋体"/>
          <w:sz w:val="28"/>
          <w:szCs w:val="28"/>
        </w:rPr>
        <w:t>响应国家新型城镇化战略及城市更新行动计划</w:t>
      </w:r>
      <w:r>
        <w:rPr>
          <w:rFonts w:hint="eastAsia" w:ascii="宋体" w:hAnsi="宋体" w:eastAsia="宋体" w:cs="宋体"/>
          <w:sz w:val="28"/>
          <w:szCs w:val="28"/>
          <w:lang w:val="en-US" w:eastAsia="zh-CN"/>
        </w:rPr>
        <w:t>而设立的</w:t>
      </w:r>
      <w:r>
        <w:rPr>
          <w:rFonts w:hint="eastAsia" w:ascii="宋体" w:hAnsi="宋体" w:eastAsia="宋体" w:cs="宋体"/>
          <w:sz w:val="28"/>
          <w:szCs w:val="28"/>
        </w:rPr>
        <w:t>新型工科微专业，融合土木工程、</w:t>
      </w:r>
      <w:r>
        <w:rPr>
          <w:rFonts w:hint="eastAsia" w:ascii="宋体" w:hAnsi="宋体" w:eastAsia="宋体" w:cs="宋体"/>
          <w:sz w:val="28"/>
          <w:szCs w:val="28"/>
          <w:lang w:val="en-US" w:eastAsia="zh-CN"/>
        </w:rPr>
        <w:t>水利工程、人工智能</w:t>
      </w:r>
      <w:r>
        <w:rPr>
          <w:rFonts w:hint="eastAsia" w:ascii="宋体" w:hAnsi="宋体" w:eastAsia="宋体" w:cs="宋体"/>
          <w:sz w:val="28"/>
          <w:szCs w:val="28"/>
        </w:rPr>
        <w:t>、</w:t>
      </w:r>
      <w:r>
        <w:rPr>
          <w:rFonts w:hint="eastAsia" w:ascii="宋体" w:hAnsi="宋体" w:eastAsia="宋体" w:cs="宋体"/>
          <w:sz w:val="28"/>
          <w:szCs w:val="28"/>
          <w:lang w:val="en-US" w:eastAsia="zh-CN"/>
        </w:rPr>
        <w:t>信息管理与信息系统、</w:t>
      </w:r>
      <w:r>
        <w:rPr>
          <w:rFonts w:hint="eastAsia" w:ascii="宋体" w:hAnsi="宋体" w:eastAsia="宋体" w:cs="宋体"/>
          <w:sz w:val="28"/>
          <w:szCs w:val="28"/>
        </w:rPr>
        <w:t>计算机科学与技术等多个学科</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培养适应当前城乡建设</w:t>
      </w:r>
      <w:r>
        <w:rPr>
          <w:rFonts w:hint="eastAsia" w:ascii="宋体" w:hAnsi="宋体" w:eastAsia="宋体" w:cs="宋体"/>
          <w:sz w:val="28"/>
          <w:szCs w:val="28"/>
        </w:rPr>
        <w:t>转型</w:t>
      </w:r>
      <w:r>
        <w:rPr>
          <w:rFonts w:hint="eastAsia" w:ascii="宋体" w:hAnsi="宋体" w:eastAsia="宋体" w:cs="宋体"/>
          <w:sz w:val="28"/>
          <w:szCs w:val="28"/>
          <w:lang w:val="en-US" w:eastAsia="zh-CN"/>
        </w:rPr>
        <w:t>需求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掌握基础设施</w:t>
      </w:r>
      <w:r>
        <w:rPr>
          <w:rFonts w:hint="eastAsia" w:ascii="宋体" w:hAnsi="宋体" w:eastAsia="宋体" w:cs="宋体"/>
          <w:sz w:val="28"/>
          <w:szCs w:val="28"/>
        </w:rPr>
        <w:t>健康诊断</w:t>
      </w:r>
      <w:r>
        <w:rPr>
          <w:rFonts w:hint="eastAsia" w:ascii="宋体" w:hAnsi="宋体" w:eastAsia="宋体" w:cs="宋体"/>
          <w:sz w:val="28"/>
          <w:szCs w:val="28"/>
          <w:lang w:val="en-US" w:eastAsia="zh-CN"/>
        </w:rPr>
        <w:t>技术，具备</w:t>
      </w:r>
      <w:r>
        <w:rPr>
          <w:rFonts w:hint="eastAsia" w:ascii="宋体" w:hAnsi="宋体" w:eastAsia="宋体" w:cs="宋体"/>
          <w:sz w:val="28"/>
          <w:szCs w:val="28"/>
        </w:rPr>
        <w:t>土木</w:t>
      </w:r>
      <w:r>
        <w:rPr>
          <w:rFonts w:hint="eastAsia" w:ascii="宋体" w:hAnsi="宋体" w:eastAsia="宋体" w:cs="宋体"/>
          <w:sz w:val="28"/>
          <w:szCs w:val="28"/>
          <w:lang w:val="en-US" w:eastAsia="zh-CN"/>
        </w:rPr>
        <w:t>水利</w:t>
      </w:r>
      <w:r>
        <w:rPr>
          <w:rFonts w:hint="eastAsia" w:ascii="宋体" w:hAnsi="宋体" w:eastAsia="宋体" w:cs="宋体"/>
          <w:sz w:val="28"/>
          <w:szCs w:val="28"/>
        </w:rPr>
        <w:t xml:space="preserve"> + 信息 + 智能交叉知识与能力</w:t>
      </w:r>
      <w:r>
        <w:rPr>
          <w:rFonts w:hint="eastAsia" w:ascii="宋体" w:hAnsi="宋体" w:eastAsia="宋体" w:cs="宋体"/>
          <w:sz w:val="28"/>
          <w:szCs w:val="28"/>
          <w:lang w:val="en-US" w:eastAsia="zh-CN"/>
        </w:rPr>
        <w:t>的</w:t>
      </w:r>
      <w:r>
        <w:rPr>
          <w:rFonts w:hint="eastAsia" w:ascii="宋体" w:hAnsi="宋体" w:eastAsia="宋体" w:cs="宋体"/>
          <w:sz w:val="28"/>
          <w:szCs w:val="28"/>
          <w:shd w:val="clear" w:color="auto" w:fill="FFFFFF"/>
        </w:rPr>
        <w:t>复合</w:t>
      </w:r>
      <w:r>
        <w:rPr>
          <w:rFonts w:hint="eastAsia" w:ascii="宋体" w:hAnsi="宋体" w:eastAsia="宋体" w:cs="宋体"/>
          <w:sz w:val="28"/>
          <w:szCs w:val="28"/>
          <w:lang w:val="en-US" w:eastAsia="zh-CN"/>
        </w:rPr>
        <w:t>应用型人才</w:t>
      </w:r>
      <w:r>
        <w:rPr>
          <w:rFonts w:hint="eastAsia" w:ascii="宋体" w:hAnsi="宋体" w:eastAsia="宋体" w:cs="宋体"/>
          <w:sz w:val="28"/>
          <w:szCs w:val="28"/>
          <w:shd w:val="clear" w:color="auto" w:fill="FFFFFF"/>
        </w:rPr>
        <w:t>。</w:t>
      </w:r>
    </w:p>
    <w:p w14:paraId="164C4F14">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二、开设课程</w:t>
      </w:r>
    </w:p>
    <w:p w14:paraId="38086B36">
      <w:pPr>
        <w:spacing w:line="360" w:lineRule="auto"/>
        <w:ind w:firstLine="562" w:firstLineChars="200"/>
        <w:jc w:val="left"/>
        <w:rPr>
          <w:rFonts w:ascii="宋体" w:hAnsi="宋体" w:eastAsia="宋体" w:cs="宋体"/>
          <w:b/>
          <w:bCs/>
          <w:color w:val="FF0000"/>
          <w:sz w:val="28"/>
          <w:szCs w:val="28"/>
        </w:rPr>
      </w:pPr>
      <w:r>
        <w:rPr>
          <w:rFonts w:hint="eastAsia" w:ascii="宋体" w:hAnsi="宋体" w:eastAsia="宋体" w:cs="宋体"/>
          <w:b/>
          <w:bCs/>
          <w:color w:val="000000" w:themeColor="text1"/>
          <w:sz w:val="28"/>
          <w:szCs w:val="28"/>
          <w14:textFill>
            <w14:solidFill>
              <w14:schemeClr w14:val="tx1"/>
            </w14:solidFill>
          </w14:textFill>
        </w:rPr>
        <w:t>（一）开设课程计划一览表</w:t>
      </w:r>
    </w:p>
    <w:tbl>
      <w:tblPr>
        <w:tblStyle w:val="3"/>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575"/>
        <w:gridCol w:w="910"/>
        <w:gridCol w:w="650"/>
        <w:gridCol w:w="825"/>
        <w:gridCol w:w="795"/>
        <w:gridCol w:w="1365"/>
        <w:gridCol w:w="1410"/>
      </w:tblGrid>
      <w:tr w14:paraId="73FA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029" w:type="dxa"/>
            <w:vMerge w:val="restart"/>
            <w:vAlign w:val="center"/>
          </w:tcPr>
          <w:p w14:paraId="2A5D4AAD">
            <w:pPr>
              <w:autoSpaceDN w:val="0"/>
              <w:spacing w:line="300" w:lineRule="auto"/>
              <w:jc w:val="center"/>
              <w:textAlignment w:val="center"/>
              <w:rPr>
                <w:rFonts w:hAnsi="宋体"/>
                <w:b/>
                <w:bCs/>
              </w:rPr>
            </w:pPr>
            <w:r>
              <w:rPr>
                <w:rFonts w:hAnsi="宋体"/>
                <w:b/>
                <w:bCs/>
              </w:rPr>
              <w:t>课程名称</w:t>
            </w:r>
          </w:p>
        </w:tc>
        <w:tc>
          <w:tcPr>
            <w:tcW w:w="575" w:type="dxa"/>
            <w:vMerge w:val="restart"/>
            <w:vAlign w:val="center"/>
          </w:tcPr>
          <w:p w14:paraId="150DF50F">
            <w:pPr>
              <w:autoSpaceDN w:val="0"/>
              <w:spacing w:line="300" w:lineRule="auto"/>
              <w:jc w:val="center"/>
              <w:textAlignment w:val="center"/>
              <w:rPr>
                <w:b/>
                <w:bCs/>
              </w:rPr>
            </w:pPr>
            <w:r>
              <w:rPr>
                <w:rFonts w:hAnsi="宋体"/>
                <w:b/>
                <w:bCs/>
              </w:rPr>
              <w:t>学分</w:t>
            </w:r>
          </w:p>
        </w:tc>
        <w:tc>
          <w:tcPr>
            <w:tcW w:w="910" w:type="dxa"/>
            <w:vMerge w:val="restart"/>
            <w:vAlign w:val="center"/>
          </w:tcPr>
          <w:p w14:paraId="62DFD4FC">
            <w:pPr>
              <w:autoSpaceDN w:val="0"/>
              <w:spacing w:line="300" w:lineRule="auto"/>
              <w:jc w:val="center"/>
              <w:textAlignment w:val="center"/>
              <w:rPr>
                <w:b/>
                <w:bCs/>
              </w:rPr>
            </w:pPr>
            <w:r>
              <w:rPr>
                <w:rFonts w:hAnsi="宋体"/>
                <w:b/>
                <w:bCs/>
              </w:rPr>
              <w:t>学时</w:t>
            </w:r>
          </w:p>
        </w:tc>
        <w:tc>
          <w:tcPr>
            <w:tcW w:w="1475" w:type="dxa"/>
            <w:gridSpan w:val="2"/>
            <w:vAlign w:val="center"/>
          </w:tcPr>
          <w:p w14:paraId="0BA8B561">
            <w:pPr>
              <w:autoSpaceDN w:val="0"/>
              <w:spacing w:line="300" w:lineRule="auto"/>
              <w:jc w:val="center"/>
              <w:textAlignment w:val="center"/>
              <w:rPr>
                <w:rFonts w:hAnsi="宋体"/>
                <w:b/>
                <w:bCs/>
              </w:rPr>
            </w:pPr>
            <w:r>
              <w:rPr>
                <w:rFonts w:hAnsi="宋体"/>
                <w:b/>
                <w:bCs/>
              </w:rPr>
              <w:t>学时分配</w:t>
            </w:r>
          </w:p>
        </w:tc>
        <w:tc>
          <w:tcPr>
            <w:tcW w:w="795" w:type="dxa"/>
            <w:vMerge w:val="restart"/>
            <w:vAlign w:val="center"/>
          </w:tcPr>
          <w:p w14:paraId="18A4574F">
            <w:pPr>
              <w:autoSpaceDN w:val="0"/>
              <w:spacing w:line="300" w:lineRule="auto"/>
              <w:jc w:val="center"/>
              <w:textAlignment w:val="center"/>
              <w:rPr>
                <w:b/>
                <w:bCs/>
              </w:rPr>
            </w:pPr>
            <w:r>
              <w:rPr>
                <w:rFonts w:hAnsi="宋体"/>
                <w:b/>
                <w:bCs/>
              </w:rPr>
              <w:t>课外</w:t>
            </w:r>
          </w:p>
          <w:p w14:paraId="498ED63B">
            <w:pPr>
              <w:autoSpaceDN w:val="0"/>
              <w:spacing w:line="300" w:lineRule="auto"/>
              <w:jc w:val="center"/>
              <w:textAlignment w:val="center"/>
              <w:rPr>
                <w:b/>
                <w:bCs/>
              </w:rPr>
            </w:pPr>
            <w:r>
              <w:rPr>
                <w:rFonts w:hAnsi="宋体"/>
                <w:b/>
                <w:bCs/>
              </w:rPr>
              <w:t>实践</w:t>
            </w:r>
          </w:p>
        </w:tc>
        <w:tc>
          <w:tcPr>
            <w:tcW w:w="1365" w:type="dxa"/>
            <w:vMerge w:val="restart"/>
            <w:vAlign w:val="center"/>
          </w:tcPr>
          <w:p w14:paraId="43F93867">
            <w:pPr>
              <w:autoSpaceDN w:val="0"/>
              <w:spacing w:line="300" w:lineRule="auto"/>
              <w:jc w:val="center"/>
              <w:textAlignment w:val="center"/>
              <w:rPr>
                <w:b/>
                <w:bCs/>
              </w:rPr>
            </w:pPr>
            <w:r>
              <w:rPr>
                <w:rFonts w:hint="eastAsia" w:hAnsi="宋体"/>
                <w:b/>
                <w:bCs/>
              </w:rPr>
              <w:t>开课</w:t>
            </w:r>
            <w:r>
              <w:rPr>
                <w:rFonts w:hAnsi="宋体"/>
                <w:b/>
                <w:bCs/>
              </w:rPr>
              <w:t>学期</w:t>
            </w:r>
          </w:p>
        </w:tc>
        <w:tc>
          <w:tcPr>
            <w:tcW w:w="1410" w:type="dxa"/>
            <w:vMerge w:val="restart"/>
            <w:vAlign w:val="center"/>
          </w:tcPr>
          <w:p w14:paraId="39F4185D">
            <w:pPr>
              <w:autoSpaceDN w:val="0"/>
              <w:spacing w:line="300" w:lineRule="auto"/>
              <w:jc w:val="center"/>
              <w:textAlignment w:val="center"/>
              <w:rPr>
                <w:b/>
                <w:bCs/>
              </w:rPr>
            </w:pPr>
            <w:r>
              <w:rPr>
                <w:rFonts w:hAnsi="宋体"/>
                <w:b/>
                <w:bCs/>
              </w:rPr>
              <w:t>考核</w:t>
            </w:r>
          </w:p>
          <w:p w14:paraId="3F11088A">
            <w:pPr>
              <w:autoSpaceDN w:val="0"/>
              <w:spacing w:line="300" w:lineRule="auto"/>
              <w:jc w:val="center"/>
              <w:textAlignment w:val="center"/>
              <w:rPr>
                <w:b/>
                <w:bCs/>
              </w:rPr>
            </w:pPr>
            <w:r>
              <w:rPr>
                <w:rFonts w:hAnsi="宋体"/>
                <w:b/>
                <w:bCs/>
              </w:rPr>
              <w:t>方式</w:t>
            </w:r>
          </w:p>
        </w:tc>
      </w:tr>
      <w:tr w14:paraId="74C2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Merge w:val="continue"/>
            <w:vAlign w:val="center"/>
          </w:tcPr>
          <w:p w14:paraId="0A0296A0">
            <w:pPr>
              <w:autoSpaceDN w:val="0"/>
              <w:spacing w:line="300" w:lineRule="auto"/>
              <w:jc w:val="center"/>
              <w:textAlignment w:val="center"/>
              <w:rPr>
                <w:rFonts w:hAnsi="宋体"/>
                <w:b/>
                <w:bCs/>
              </w:rPr>
            </w:pPr>
          </w:p>
        </w:tc>
        <w:tc>
          <w:tcPr>
            <w:tcW w:w="575" w:type="dxa"/>
            <w:vMerge w:val="continue"/>
            <w:vAlign w:val="center"/>
          </w:tcPr>
          <w:p w14:paraId="25348B81">
            <w:pPr>
              <w:autoSpaceDN w:val="0"/>
              <w:spacing w:line="300" w:lineRule="auto"/>
              <w:jc w:val="center"/>
              <w:textAlignment w:val="center"/>
              <w:rPr>
                <w:rFonts w:hAnsi="宋体"/>
                <w:b/>
                <w:bCs/>
              </w:rPr>
            </w:pPr>
          </w:p>
        </w:tc>
        <w:tc>
          <w:tcPr>
            <w:tcW w:w="910" w:type="dxa"/>
            <w:vMerge w:val="continue"/>
            <w:vAlign w:val="center"/>
          </w:tcPr>
          <w:p w14:paraId="20293D25">
            <w:pPr>
              <w:autoSpaceDN w:val="0"/>
              <w:spacing w:line="300" w:lineRule="auto"/>
              <w:jc w:val="center"/>
              <w:textAlignment w:val="center"/>
              <w:rPr>
                <w:rFonts w:hAnsi="宋体"/>
                <w:b/>
                <w:bCs/>
              </w:rPr>
            </w:pPr>
          </w:p>
        </w:tc>
        <w:tc>
          <w:tcPr>
            <w:tcW w:w="650" w:type="dxa"/>
            <w:vAlign w:val="center"/>
          </w:tcPr>
          <w:p w14:paraId="3AF06BA4">
            <w:pPr>
              <w:autoSpaceDN w:val="0"/>
              <w:spacing w:line="300" w:lineRule="auto"/>
              <w:jc w:val="center"/>
              <w:textAlignment w:val="center"/>
              <w:rPr>
                <w:b/>
                <w:bCs/>
              </w:rPr>
            </w:pPr>
            <w:r>
              <w:rPr>
                <w:rFonts w:hAnsi="宋体"/>
                <w:b/>
                <w:bCs/>
              </w:rPr>
              <w:t>讲授</w:t>
            </w:r>
          </w:p>
        </w:tc>
        <w:tc>
          <w:tcPr>
            <w:tcW w:w="825" w:type="dxa"/>
            <w:vAlign w:val="center"/>
          </w:tcPr>
          <w:p w14:paraId="15AF79E5">
            <w:pPr>
              <w:autoSpaceDN w:val="0"/>
              <w:spacing w:line="300" w:lineRule="auto"/>
              <w:jc w:val="center"/>
              <w:textAlignment w:val="center"/>
              <w:rPr>
                <w:b/>
                <w:bCs/>
              </w:rPr>
            </w:pPr>
            <w:r>
              <w:rPr>
                <w:rFonts w:hAnsi="宋体"/>
                <w:b/>
                <w:bCs/>
              </w:rPr>
              <w:t>实践</w:t>
            </w:r>
          </w:p>
        </w:tc>
        <w:tc>
          <w:tcPr>
            <w:tcW w:w="795" w:type="dxa"/>
            <w:vMerge w:val="continue"/>
            <w:vAlign w:val="center"/>
          </w:tcPr>
          <w:p w14:paraId="6052E5DD">
            <w:pPr>
              <w:autoSpaceDN w:val="0"/>
              <w:spacing w:line="300" w:lineRule="auto"/>
              <w:jc w:val="center"/>
              <w:textAlignment w:val="center"/>
              <w:rPr>
                <w:rFonts w:hAnsi="宋体"/>
                <w:b/>
                <w:bCs/>
              </w:rPr>
            </w:pPr>
          </w:p>
        </w:tc>
        <w:tc>
          <w:tcPr>
            <w:tcW w:w="1365" w:type="dxa"/>
            <w:vMerge w:val="continue"/>
            <w:vAlign w:val="center"/>
          </w:tcPr>
          <w:p w14:paraId="503B9467">
            <w:pPr>
              <w:autoSpaceDN w:val="0"/>
              <w:spacing w:line="300" w:lineRule="auto"/>
              <w:jc w:val="center"/>
              <w:textAlignment w:val="center"/>
              <w:rPr>
                <w:b/>
                <w:bCs/>
              </w:rPr>
            </w:pPr>
          </w:p>
        </w:tc>
        <w:tc>
          <w:tcPr>
            <w:tcW w:w="1410" w:type="dxa"/>
            <w:vMerge w:val="continue"/>
            <w:vAlign w:val="center"/>
          </w:tcPr>
          <w:p w14:paraId="4C349443">
            <w:pPr>
              <w:autoSpaceDN w:val="0"/>
              <w:spacing w:line="300" w:lineRule="auto"/>
              <w:jc w:val="center"/>
              <w:textAlignment w:val="center"/>
              <w:rPr>
                <w:b/>
                <w:bCs/>
              </w:rPr>
            </w:pPr>
          </w:p>
        </w:tc>
      </w:tr>
      <w:tr w14:paraId="5889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2CB0282A">
            <w:pPr>
              <w:snapToGrid w:val="0"/>
              <w:jc w:val="left"/>
              <w:rPr>
                <w:rFonts w:hAnsi="宋体"/>
              </w:rPr>
            </w:pPr>
            <w:r>
              <w:rPr>
                <w:rFonts w:hint="eastAsia" w:ascii="宋体" w:hAnsi="宋体" w:eastAsia="宋体" w:cs="宋体"/>
                <w:b w:val="0"/>
                <w:bCs w:val="0"/>
                <w:i w:val="0"/>
                <w:iCs w:val="0"/>
                <w:color w:val="000000"/>
                <w:spacing w:val="0"/>
                <w:w w:val="100"/>
                <w:kern w:val="2"/>
                <w:sz w:val="21"/>
                <w:szCs w:val="21"/>
                <w:vertAlign w:val="baseline"/>
                <w:lang w:val="en-US" w:eastAsia="zh-CN" w:bidi="ar-SA"/>
              </w:rPr>
              <w:t>工程智能诊断技术概论</w:t>
            </w:r>
          </w:p>
        </w:tc>
        <w:tc>
          <w:tcPr>
            <w:tcW w:w="575" w:type="dxa"/>
            <w:vAlign w:val="center"/>
          </w:tcPr>
          <w:p w14:paraId="3321CC81">
            <w:pPr>
              <w:autoSpaceDN w:val="0"/>
              <w:spacing w:line="300" w:lineRule="auto"/>
              <w:jc w:val="center"/>
              <w:textAlignment w:val="center"/>
              <w:rPr>
                <w:rFonts w:hAnsi="宋体" w:eastAsia="宋体"/>
              </w:rPr>
            </w:pPr>
            <w:r>
              <w:rPr>
                <w:rFonts w:hint="eastAsia" w:hAnsi="宋体"/>
              </w:rPr>
              <w:t>2</w:t>
            </w:r>
          </w:p>
        </w:tc>
        <w:tc>
          <w:tcPr>
            <w:tcW w:w="910" w:type="dxa"/>
            <w:vAlign w:val="center"/>
          </w:tcPr>
          <w:p w14:paraId="4EFB6B25">
            <w:pPr>
              <w:snapToGrid w:val="0"/>
              <w:jc w:val="center"/>
              <w:rPr>
                <w:rFonts w:hAnsi="宋体" w:eastAsia="宋体"/>
              </w:rPr>
            </w:pPr>
            <w:r>
              <w:rPr>
                <w:rFonts w:hint="eastAsia" w:ascii="Times New Roman" w:hAnsi="Times New Roman"/>
                <w:sz w:val="20"/>
                <w:szCs w:val="20"/>
                <w:lang w:val="en-US" w:eastAsia="zh-CN"/>
              </w:rPr>
              <w:t>32</w:t>
            </w:r>
          </w:p>
        </w:tc>
        <w:tc>
          <w:tcPr>
            <w:tcW w:w="650" w:type="dxa"/>
            <w:vAlign w:val="center"/>
          </w:tcPr>
          <w:p w14:paraId="0404343C">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32</w:t>
            </w:r>
          </w:p>
        </w:tc>
        <w:tc>
          <w:tcPr>
            <w:tcW w:w="825" w:type="dxa"/>
            <w:vAlign w:val="center"/>
          </w:tcPr>
          <w:p w14:paraId="0991B45F">
            <w:pPr>
              <w:autoSpaceDN w:val="0"/>
              <w:spacing w:line="300" w:lineRule="auto"/>
              <w:jc w:val="center"/>
              <w:textAlignment w:val="center"/>
              <w:rPr>
                <w:rFonts w:hAnsi="宋体" w:eastAsia="宋体"/>
              </w:rPr>
            </w:pPr>
          </w:p>
        </w:tc>
        <w:tc>
          <w:tcPr>
            <w:tcW w:w="795" w:type="dxa"/>
            <w:vAlign w:val="center"/>
          </w:tcPr>
          <w:p w14:paraId="0C90873A">
            <w:pPr>
              <w:autoSpaceDN w:val="0"/>
              <w:spacing w:line="300" w:lineRule="auto"/>
              <w:jc w:val="center"/>
              <w:textAlignment w:val="center"/>
              <w:rPr>
                <w:rFonts w:hAnsi="宋体"/>
              </w:rPr>
            </w:pPr>
          </w:p>
        </w:tc>
        <w:tc>
          <w:tcPr>
            <w:tcW w:w="1365" w:type="dxa"/>
            <w:vAlign w:val="center"/>
          </w:tcPr>
          <w:p w14:paraId="381AF28E">
            <w:pPr>
              <w:autoSpaceDN w:val="0"/>
              <w:spacing w:line="300" w:lineRule="auto"/>
              <w:jc w:val="center"/>
              <w:textAlignment w:val="center"/>
            </w:pPr>
            <w:r>
              <w:rPr>
                <w:rFonts w:hint="eastAsia"/>
              </w:rPr>
              <w:t>202</w:t>
            </w:r>
            <w:r>
              <w:rPr>
                <w:rFonts w:hint="eastAsia"/>
                <w:lang w:val="en-US" w:eastAsia="zh-CN"/>
              </w:rPr>
              <w:t>6</w:t>
            </w:r>
            <w:r>
              <w:rPr>
                <w:rFonts w:hint="eastAsia"/>
              </w:rPr>
              <w:t>-202</w:t>
            </w:r>
            <w:r>
              <w:rPr>
                <w:rFonts w:hint="eastAsia"/>
                <w:lang w:val="en-US" w:eastAsia="zh-CN"/>
              </w:rPr>
              <w:t>7</w:t>
            </w:r>
            <w:r>
              <w:rPr>
                <w:rFonts w:hint="eastAsia"/>
              </w:rPr>
              <w:t>-1</w:t>
            </w:r>
          </w:p>
        </w:tc>
        <w:tc>
          <w:tcPr>
            <w:tcW w:w="1410" w:type="dxa"/>
            <w:vAlign w:val="center"/>
          </w:tcPr>
          <w:p w14:paraId="044AF75D">
            <w:pPr>
              <w:autoSpaceDN w:val="0"/>
              <w:spacing w:line="300" w:lineRule="auto"/>
              <w:jc w:val="center"/>
              <w:textAlignment w:val="center"/>
              <w:rPr>
                <w:rFonts w:hint="eastAsia" w:eastAsiaTheme="minorEastAsia"/>
                <w:lang w:val="en-US" w:eastAsia="zh-CN"/>
              </w:rPr>
            </w:pPr>
            <w:r>
              <w:rPr>
                <w:rFonts w:hint="eastAsia"/>
                <w:lang w:val="en-US" w:eastAsia="zh-CN"/>
              </w:rPr>
              <w:t>考查</w:t>
            </w:r>
          </w:p>
        </w:tc>
      </w:tr>
      <w:tr w14:paraId="288C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0B9DD545">
            <w:pPr>
              <w:snapToGrid w:val="0"/>
              <w:jc w:val="left"/>
              <w:rPr>
                <w:rFonts w:hAnsi="宋体"/>
              </w:rPr>
            </w:pPr>
            <w:r>
              <w:rPr>
                <w:rFonts w:hint="eastAsia" w:ascii="宋体" w:hAnsi="宋体" w:eastAsia="宋体" w:cs="宋体"/>
                <w:b w:val="0"/>
                <w:bCs w:val="0"/>
                <w:i w:val="0"/>
                <w:iCs w:val="0"/>
                <w:color w:val="000000"/>
                <w:spacing w:val="0"/>
                <w:w w:val="100"/>
                <w:kern w:val="2"/>
                <w:sz w:val="21"/>
                <w:szCs w:val="21"/>
                <w:vertAlign w:val="baseline"/>
                <w:lang w:val="en-US" w:eastAsia="zh-CN" w:bidi="ar-SA"/>
              </w:rPr>
              <w:t>传感器与物联网技术</w:t>
            </w:r>
          </w:p>
        </w:tc>
        <w:tc>
          <w:tcPr>
            <w:tcW w:w="575" w:type="dxa"/>
            <w:vAlign w:val="center"/>
          </w:tcPr>
          <w:p w14:paraId="154BD25C">
            <w:pPr>
              <w:autoSpaceDN w:val="0"/>
              <w:spacing w:line="300" w:lineRule="auto"/>
              <w:jc w:val="center"/>
              <w:textAlignment w:val="center"/>
              <w:rPr>
                <w:rFonts w:hAnsi="宋体" w:eastAsia="宋体"/>
              </w:rPr>
            </w:pPr>
            <w:r>
              <w:rPr>
                <w:rFonts w:hint="eastAsia" w:hAnsi="宋体"/>
              </w:rPr>
              <w:t>2</w:t>
            </w:r>
          </w:p>
        </w:tc>
        <w:tc>
          <w:tcPr>
            <w:tcW w:w="910" w:type="dxa"/>
            <w:vAlign w:val="center"/>
          </w:tcPr>
          <w:p w14:paraId="1FD58876">
            <w:pPr>
              <w:snapToGrid w:val="0"/>
              <w:jc w:val="center"/>
              <w:rPr>
                <w:rFonts w:hAnsi="宋体" w:eastAsia="宋体"/>
              </w:rPr>
            </w:pPr>
            <w:r>
              <w:rPr>
                <w:rFonts w:hint="eastAsia" w:ascii="Times New Roman" w:hAnsi="Times New Roman"/>
                <w:sz w:val="20"/>
                <w:szCs w:val="20"/>
                <w:lang w:val="en-US" w:eastAsia="zh-CN"/>
              </w:rPr>
              <w:t>32</w:t>
            </w:r>
          </w:p>
        </w:tc>
        <w:tc>
          <w:tcPr>
            <w:tcW w:w="650" w:type="dxa"/>
            <w:vAlign w:val="center"/>
          </w:tcPr>
          <w:p w14:paraId="7AB03135">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32</w:t>
            </w:r>
          </w:p>
        </w:tc>
        <w:tc>
          <w:tcPr>
            <w:tcW w:w="825" w:type="dxa"/>
            <w:vAlign w:val="center"/>
          </w:tcPr>
          <w:p w14:paraId="63C16B8B">
            <w:pPr>
              <w:autoSpaceDN w:val="0"/>
              <w:spacing w:line="300" w:lineRule="auto"/>
              <w:jc w:val="center"/>
              <w:textAlignment w:val="center"/>
              <w:rPr>
                <w:rFonts w:hAnsi="宋体" w:eastAsia="宋体"/>
              </w:rPr>
            </w:pPr>
          </w:p>
        </w:tc>
        <w:tc>
          <w:tcPr>
            <w:tcW w:w="795" w:type="dxa"/>
            <w:vAlign w:val="center"/>
          </w:tcPr>
          <w:p w14:paraId="2C5207D6">
            <w:pPr>
              <w:autoSpaceDN w:val="0"/>
              <w:spacing w:line="300" w:lineRule="auto"/>
              <w:jc w:val="center"/>
              <w:textAlignment w:val="center"/>
              <w:rPr>
                <w:rFonts w:hAnsi="宋体"/>
              </w:rPr>
            </w:pPr>
          </w:p>
        </w:tc>
        <w:tc>
          <w:tcPr>
            <w:tcW w:w="1365" w:type="dxa"/>
            <w:vAlign w:val="center"/>
          </w:tcPr>
          <w:p w14:paraId="5399E0F8">
            <w:pPr>
              <w:autoSpaceDN w:val="0"/>
              <w:spacing w:line="300" w:lineRule="auto"/>
              <w:jc w:val="center"/>
              <w:textAlignment w:val="center"/>
            </w:pPr>
            <w:r>
              <w:rPr>
                <w:rFonts w:hint="eastAsia"/>
              </w:rPr>
              <w:t>202</w:t>
            </w:r>
            <w:r>
              <w:rPr>
                <w:rFonts w:hint="eastAsia"/>
                <w:lang w:val="en-US" w:eastAsia="zh-CN"/>
              </w:rPr>
              <w:t>6</w:t>
            </w:r>
            <w:r>
              <w:rPr>
                <w:rFonts w:hint="eastAsia"/>
              </w:rPr>
              <w:t>-202</w:t>
            </w:r>
            <w:r>
              <w:rPr>
                <w:rFonts w:hint="eastAsia"/>
                <w:lang w:val="en-US" w:eastAsia="zh-CN"/>
              </w:rPr>
              <w:t>7</w:t>
            </w:r>
            <w:r>
              <w:rPr>
                <w:rFonts w:hint="eastAsia"/>
              </w:rPr>
              <w:t>-1</w:t>
            </w:r>
          </w:p>
        </w:tc>
        <w:tc>
          <w:tcPr>
            <w:tcW w:w="1410" w:type="dxa"/>
            <w:vAlign w:val="center"/>
          </w:tcPr>
          <w:p w14:paraId="1E676F5A">
            <w:pPr>
              <w:autoSpaceDN w:val="0"/>
              <w:spacing w:line="300" w:lineRule="auto"/>
              <w:jc w:val="center"/>
              <w:textAlignment w:val="center"/>
            </w:pPr>
            <w:r>
              <w:rPr>
                <w:rFonts w:hint="eastAsia"/>
                <w:lang w:val="en-US" w:eastAsia="zh-CN"/>
              </w:rPr>
              <w:t>考查</w:t>
            </w:r>
          </w:p>
        </w:tc>
      </w:tr>
      <w:tr w14:paraId="48A2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30B2D3A3">
            <w:pPr>
              <w:snapToGrid w:val="0"/>
              <w:jc w:val="left"/>
              <w:rPr>
                <w:rFonts w:hAnsi="宋体"/>
              </w:rPr>
            </w:pPr>
            <w:r>
              <w:rPr>
                <w:rFonts w:hint="eastAsia" w:ascii="宋体" w:hAnsi="宋体" w:eastAsia="宋体" w:cs="宋体"/>
                <w:b w:val="0"/>
                <w:bCs w:val="0"/>
                <w:i w:val="0"/>
                <w:iCs w:val="0"/>
                <w:color w:val="000000"/>
                <w:spacing w:val="0"/>
                <w:w w:val="100"/>
                <w:kern w:val="2"/>
                <w:sz w:val="21"/>
                <w:szCs w:val="21"/>
                <w:vertAlign w:val="baseline"/>
                <w:lang w:val="en-US" w:eastAsia="zh-CN" w:bidi="ar-SA"/>
              </w:rPr>
              <w:t>基础设施病害识别技术</w:t>
            </w:r>
          </w:p>
        </w:tc>
        <w:tc>
          <w:tcPr>
            <w:tcW w:w="575" w:type="dxa"/>
            <w:vAlign w:val="center"/>
          </w:tcPr>
          <w:p w14:paraId="4380C789">
            <w:pPr>
              <w:autoSpaceDN w:val="0"/>
              <w:spacing w:line="300" w:lineRule="auto"/>
              <w:jc w:val="center"/>
              <w:textAlignment w:val="center"/>
              <w:rPr>
                <w:rFonts w:hAnsi="宋体" w:eastAsia="宋体"/>
              </w:rPr>
            </w:pPr>
            <w:r>
              <w:rPr>
                <w:rFonts w:hint="eastAsia" w:hAnsi="宋体"/>
              </w:rPr>
              <w:t>2</w:t>
            </w:r>
          </w:p>
        </w:tc>
        <w:tc>
          <w:tcPr>
            <w:tcW w:w="910" w:type="dxa"/>
            <w:vAlign w:val="center"/>
          </w:tcPr>
          <w:p w14:paraId="18D5C3E1">
            <w:pPr>
              <w:snapToGrid w:val="0"/>
              <w:jc w:val="center"/>
              <w:rPr>
                <w:rFonts w:hAnsi="宋体" w:eastAsia="宋体"/>
              </w:rPr>
            </w:pPr>
            <w:r>
              <w:rPr>
                <w:rFonts w:hint="eastAsia" w:ascii="Times New Roman" w:hAnsi="Times New Roman"/>
                <w:sz w:val="20"/>
                <w:szCs w:val="20"/>
                <w:lang w:val="en-US" w:eastAsia="zh-CN"/>
              </w:rPr>
              <w:t>32</w:t>
            </w:r>
          </w:p>
        </w:tc>
        <w:tc>
          <w:tcPr>
            <w:tcW w:w="650" w:type="dxa"/>
            <w:vAlign w:val="center"/>
          </w:tcPr>
          <w:p w14:paraId="6813C7A0">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32</w:t>
            </w:r>
          </w:p>
        </w:tc>
        <w:tc>
          <w:tcPr>
            <w:tcW w:w="825" w:type="dxa"/>
            <w:vAlign w:val="center"/>
          </w:tcPr>
          <w:p w14:paraId="7A2FF37F">
            <w:pPr>
              <w:autoSpaceDN w:val="0"/>
              <w:spacing w:line="300" w:lineRule="auto"/>
              <w:jc w:val="center"/>
              <w:textAlignment w:val="center"/>
              <w:rPr>
                <w:rFonts w:hAnsi="宋体" w:eastAsia="宋体"/>
              </w:rPr>
            </w:pPr>
          </w:p>
        </w:tc>
        <w:tc>
          <w:tcPr>
            <w:tcW w:w="795" w:type="dxa"/>
            <w:vAlign w:val="center"/>
          </w:tcPr>
          <w:p w14:paraId="5BB87D76">
            <w:pPr>
              <w:autoSpaceDN w:val="0"/>
              <w:spacing w:line="300" w:lineRule="auto"/>
              <w:jc w:val="center"/>
              <w:textAlignment w:val="center"/>
              <w:rPr>
                <w:rFonts w:hAnsi="宋体"/>
              </w:rPr>
            </w:pPr>
          </w:p>
        </w:tc>
        <w:tc>
          <w:tcPr>
            <w:tcW w:w="1365" w:type="dxa"/>
            <w:vAlign w:val="center"/>
          </w:tcPr>
          <w:p w14:paraId="42A9F3AC">
            <w:pPr>
              <w:autoSpaceDN w:val="0"/>
              <w:spacing w:line="300" w:lineRule="auto"/>
              <w:jc w:val="center"/>
              <w:textAlignment w:val="center"/>
              <w:rPr>
                <w:rFonts w:hint="eastAsia" w:eastAsiaTheme="minorEastAsia"/>
                <w:lang w:eastAsia="zh-CN"/>
              </w:rPr>
            </w:pPr>
            <w:r>
              <w:rPr>
                <w:rFonts w:hint="eastAsia"/>
              </w:rPr>
              <w:t>202</w:t>
            </w:r>
            <w:r>
              <w:rPr>
                <w:rFonts w:hint="eastAsia"/>
                <w:lang w:val="en-US" w:eastAsia="zh-CN"/>
              </w:rPr>
              <w:t>6</w:t>
            </w:r>
            <w:r>
              <w:rPr>
                <w:rFonts w:hint="eastAsia"/>
              </w:rPr>
              <w:t>-202</w:t>
            </w:r>
            <w:r>
              <w:rPr>
                <w:rFonts w:hint="eastAsia"/>
                <w:lang w:val="en-US" w:eastAsia="zh-CN"/>
              </w:rPr>
              <w:t>7</w:t>
            </w:r>
            <w:r>
              <w:rPr>
                <w:rFonts w:hint="eastAsia"/>
              </w:rPr>
              <w:t>-</w:t>
            </w:r>
            <w:r>
              <w:rPr>
                <w:rFonts w:hint="eastAsia"/>
                <w:lang w:val="en-US" w:eastAsia="zh-CN"/>
              </w:rPr>
              <w:t>2</w:t>
            </w:r>
          </w:p>
        </w:tc>
        <w:tc>
          <w:tcPr>
            <w:tcW w:w="1410" w:type="dxa"/>
            <w:vAlign w:val="center"/>
          </w:tcPr>
          <w:p w14:paraId="0C9072A0">
            <w:pPr>
              <w:autoSpaceDN w:val="0"/>
              <w:spacing w:line="300" w:lineRule="auto"/>
              <w:jc w:val="center"/>
              <w:textAlignment w:val="center"/>
            </w:pPr>
            <w:r>
              <w:rPr>
                <w:rFonts w:hint="eastAsia"/>
                <w:lang w:val="en-US" w:eastAsia="zh-CN"/>
              </w:rPr>
              <w:t>考查</w:t>
            </w:r>
          </w:p>
        </w:tc>
      </w:tr>
      <w:tr w14:paraId="4F5D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221B74F0">
            <w:pPr>
              <w:snapToGrid w:val="0"/>
              <w:jc w:val="left"/>
              <w:rPr>
                <w:rFonts w:hAnsi="宋体"/>
              </w:rPr>
            </w:pPr>
            <w:r>
              <w:rPr>
                <w:rFonts w:hint="eastAsia" w:ascii="宋体" w:hAnsi="宋体" w:eastAsia="宋体" w:cs="宋体"/>
                <w:b w:val="0"/>
                <w:bCs w:val="0"/>
                <w:i w:val="0"/>
                <w:iCs w:val="0"/>
                <w:color w:val="000000"/>
                <w:spacing w:val="0"/>
                <w:w w:val="100"/>
                <w:kern w:val="2"/>
                <w:sz w:val="21"/>
                <w:szCs w:val="21"/>
                <w:vertAlign w:val="baseline"/>
                <w:lang w:val="en-US" w:eastAsia="zh-CN" w:bidi="ar-SA"/>
              </w:rPr>
              <w:t>结构智能健康监测</w:t>
            </w:r>
          </w:p>
        </w:tc>
        <w:tc>
          <w:tcPr>
            <w:tcW w:w="575" w:type="dxa"/>
            <w:vAlign w:val="center"/>
          </w:tcPr>
          <w:p w14:paraId="79AA704C">
            <w:pPr>
              <w:autoSpaceDN w:val="0"/>
              <w:spacing w:line="300" w:lineRule="auto"/>
              <w:jc w:val="center"/>
              <w:textAlignment w:val="center"/>
              <w:rPr>
                <w:rFonts w:hAnsi="宋体" w:eastAsia="宋体"/>
              </w:rPr>
            </w:pPr>
            <w:r>
              <w:rPr>
                <w:rFonts w:hint="eastAsia" w:hAnsi="宋体"/>
              </w:rPr>
              <w:t>2</w:t>
            </w:r>
          </w:p>
        </w:tc>
        <w:tc>
          <w:tcPr>
            <w:tcW w:w="910" w:type="dxa"/>
            <w:vAlign w:val="center"/>
          </w:tcPr>
          <w:p w14:paraId="18B32DDD">
            <w:pPr>
              <w:snapToGrid w:val="0"/>
              <w:jc w:val="center"/>
              <w:rPr>
                <w:rFonts w:hAnsi="宋体" w:eastAsia="宋体"/>
              </w:rPr>
            </w:pPr>
            <w:r>
              <w:rPr>
                <w:rFonts w:hint="eastAsia" w:ascii="Times New Roman" w:hAnsi="Times New Roman"/>
                <w:sz w:val="20"/>
                <w:szCs w:val="20"/>
              </w:rPr>
              <w:t>32</w:t>
            </w:r>
          </w:p>
        </w:tc>
        <w:tc>
          <w:tcPr>
            <w:tcW w:w="650" w:type="dxa"/>
            <w:vAlign w:val="center"/>
          </w:tcPr>
          <w:p w14:paraId="3E272CE0">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32</w:t>
            </w:r>
          </w:p>
        </w:tc>
        <w:tc>
          <w:tcPr>
            <w:tcW w:w="825" w:type="dxa"/>
            <w:vAlign w:val="center"/>
          </w:tcPr>
          <w:p w14:paraId="06AEC0CE">
            <w:pPr>
              <w:autoSpaceDN w:val="0"/>
              <w:spacing w:line="300" w:lineRule="auto"/>
              <w:jc w:val="center"/>
              <w:textAlignment w:val="center"/>
              <w:rPr>
                <w:rFonts w:hAnsi="宋体" w:eastAsia="宋体"/>
              </w:rPr>
            </w:pPr>
          </w:p>
        </w:tc>
        <w:tc>
          <w:tcPr>
            <w:tcW w:w="795" w:type="dxa"/>
            <w:vAlign w:val="center"/>
          </w:tcPr>
          <w:p w14:paraId="0E0900D9">
            <w:pPr>
              <w:autoSpaceDN w:val="0"/>
              <w:spacing w:line="300" w:lineRule="auto"/>
              <w:jc w:val="center"/>
              <w:textAlignment w:val="center"/>
              <w:rPr>
                <w:rFonts w:hAnsi="宋体"/>
              </w:rPr>
            </w:pPr>
          </w:p>
        </w:tc>
        <w:tc>
          <w:tcPr>
            <w:tcW w:w="1365" w:type="dxa"/>
            <w:vAlign w:val="center"/>
          </w:tcPr>
          <w:p w14:paraId="336F83DD">
            <w:pPr>
              <w:autoSpaceDN w:val="0"/>
              <w:spacing w:line="300" w:lineRule="auto"/>
              <w:jc w:val="center"/>
              <w:textAlignment w:val="center"/>
              <w:rPr>
                <w:rFonts w:hint="eastAsia" w:eastAsiaTheme="minorEastAsia"/>
                <w:lang w:eastAsia="zh-CN"/>
              </w:rPr>
            </w:pPr>
            <w:r>
              <w:rPr>
                <w:rFonts w:hint="eastAsia"/>
              </w:rPr>
              <w:t>202</w:t>
            </w:r>
            <w:r>
              <w:rPr>
                <w:rFonts w:hint="eastAsia"/>
                <w:lang w:val="en-US" w:eastAsia="zh-CN"/>
              </w:rPr>
              <w:t>6</w:t>
            </w:r>
            <w:r>
              <w:rPr>
                <w:rFonts w:hint="eastAsia"/>
              </w:rPr>
              <w:t>-202</w:t>
            </w:r>
            <w:r>
              <w:rPr>
                <w:rFonts w:hint="eastAsia"/>
                <w:lang w:val="en-US" w:eastAsia="zh-CN"/>
              </w:rPr>
              <w:t>7</w:t>
            </w:r>
            <w:r>
              <w:rPr>
                <w:rFonts w:hint="eastAsia"/>
              </w:rPr>
              <w:t>-</w:t>
            </w:r>
            <w:r>
              <w:rPr>
                <w:rFonts w:hint="eastAsia"/>
                <w:lang w:val="en-US" w:eastAsia="zh-CN"/>
              </w:rPr>
              <w:t>2</w:t>
            </w:r>
          </w:p>
        </w:tc>
        <w:tc>
          <w:tcPr>
            <w:tcW w:w="1410" w:type="dxa"/>
            <w:vAlign w:val="center"/>
          </w:tcPr>
          <w:p w14:paraId="279EA2BA">
            <w:pPr>
              <w:autoSpaceDN w:val="0"/>
              <w:spacing w:line="300" w:lineRule="auto"/>
              <w:jc w:val="center"/>
              <w:textAlignment w:val="center"/>
            </w:pPr>
            <w:r>
              <w:rPr>
                <w:rFonts w:hint="eastAsia"/>
                <w:lang w:val="en-US" w:eastAsia="zh-CN"/>
              </w:rPr>
              <w:t>考查</w:t>
            </w:r>
          </w:p>
        </w:tc>
      </w:tr>
      <w:tr w14:paraId="3C3F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75D14B0A">
            <w:pPr>
              <w:snapToGrid w:val="0"/>
              <w:jc w:val="left"/>
              <w:rPr>
                <w:rFonts w:hAnsi="宋体"/>
              </w:rPr>
            </w:pPr>
            <w:r>
              <w:rPr>
                <w:rFonts w:hint="eastAsia" w:ascii="宋体" w:hAnsi="宋体" w:eastAsia="宋体" w:cs="宋体"/>
                <w:b w:val="0"/>
                <w:bCs w:val="0"/>
                <w:i w:val="0"/>
                <w:iCs w:val="0"/>
                <w:color w:val="000000"/>
                <w:spacing w:val="0"/>
                <w:w w:val="100"/>
                <w:kern w:val="2"/>
                <w:sz w:val="21"/>
                <w:szCs w:val="21"/>
                <w:vertAlign w:val="baseline"/>
                <w:lang w:val="en-US" w:eastAsia="zh-CN" w:bidi="ar-SA"/>
              </w:rPr>
              <w:t>结构智能健康诊断与实践</w:t>
            </w:r>
          </w:p>
        </w:tc>
        <w:tc>
          <w:tcPr>
            <w:tcW w:w="575" w:type="dxa"/>
            <w:vAlign w:val="center"/>
          </w:tcPr>
          <w:p w14:paraId="530B79CF">
            <w:pPr>
              <w:autoSpaceDN w:val="0"/>
              <w:spacing w:line="300" w:lineRule="auto"/>
              <w:jc w:val="center"/>
              <w:textAlignment w:val="center"/>
              <w:rPr>
                <w:rFonts w:hAnsi="宋体" w:eastAsia="宋体"/>
              </w:rPr>
            </w:pPr>
            <w:r>
              <w:rPr>
                <w:rFonts w:hint="eastAsia" w:hAnsi="宋体"/>
              </w:rPr>
              <w:t>2</w:t>
            </w:r>
          </w:p>
        </w:tc>
        <w:tc>
          <w:tcPr>
            <w:tcW w:w="910" w:type="dxa"/>
            <w:vAlign w:val="center"/>
          </w:tcPr>
          <w:p w14:paraId="12AE40E8">
            <w:pPr>
              <w:snapToGrid w:val="0"/>
              <w:jc w:val="center"/>
              <w:rPr>
                <w:rFonts w:hAnsi="宋体" w:eastAsia="宋体"/>
              </w:rPr>
            </w:pPr>
            <w:r>
              <w:rPr>
                <w:rFonts w:hint="eastAsia" w:ascii="Times New Roman" w:hAnsi="Times New Roman"/>
                <w:sz w:val="20"/>
                <w:szCs w:val="20"/>
              </w:rPr>
              <w:t>32</w:t>
            </w:r>
          </w:p>
        </w:tc>
        <w:tc>
          <w:tcPr>
            <w:tcW w:w="650" w:type="dxa"/>
            <w:vAlign w:val="center"/>
          </w:tcPr>
          <w:p w14:paraId="42A2E3EA">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14</w:t>
            </w:r>
          </w:p>
        </w:tc>
        <w:tc>
          <w:tcPr>
            <w:tcW w:w="825" w:type="dxa"/>
            <w:vAlign w:val="center"/>
          </w:tcPr>
          <w:p w14:paraId="480F1DCD">
            <w:pPr>
              <w:autoSpaceDN w:val="0"/>
              <w:spacing w:line="300" w:lineRule="auto"/>
              <w:jc w:val="center"/>
              <w:textAlignment w:val="center"/>
              <w:rPr>
                <w:rFonts w:hint="default" w:hAnsi="宋体" w:eastAsia="宋体"/>
                <w:lang w:val="en-US" w:eastAsia="zh-CN"/>
              </w:rPr>
            </w:pPr>
            <w:r>
              <w:rPr>
                <w:rFonts w:hint="eastAsia" w:hAnsi="宋体" w:eastAsia="宋体"/>
                <w:lang w:val="en-US" w:eastAsia="zh-CN"/>
              </w:rPr>
              <w:t>18</w:t>
            </w:r>
          </w:p>
        </w:tc>
        <w:tc>
          <w:tcPr>
            <w:tcW w:w="795" w:type="dxa"/>
            <w:vAlign w:val="center"/>
          </w:tcPr>
          <w:p w14:paraId="074010A6">
            <w:pPr>
              <w:autoSpaceDN w:val="0"/>
              <w:spacing w:line="300" w:lineRule="auto"/>
              <w:jc w:val="center"/>
              <w:textAlignment w:val="center"/>
              <w:rPr>
                <w:rFonts w:hAnsi="宋体"/>
              </w:rPr>
            </w:pPr>
          </w:p>
        </w:tc>
        <w:tc>
          <w:tcPr>
            <w:tcW w:w="1365" w:type="dxa"/>
            <w:vAlign w:val="center"/>
          </w:tcPr>
          <w:p w14:paraId="150D1A0B">
            <w:pPr>
              <w:autoSpaceDN w:val="0"/>
              <w:spacing w:line="300" w:lineRule="auto"/>
              <w:jc w:val="center"/>
              <w:textAlignment w:val="center"/>
              <w:rPr>
                <w:rFonts w:hint="eastAsia" w:eastAsiaTheme="minorEastAsia"/>
                <w:lang w:eastAsia="zh-CN"/>
              </w:rPr>
            </w:pPr>
            <w:r>
              <w:rPr>
                <w:rFonts w:hint="eastAsia"/>
              </w:rPr>
              <w:t>202</w:t>
            </w:r>
            <w:r>
              <w:rPr>
                <w:rFonts w:hint="eastAsia"/>
                <w:lang w:val="en-US" w:eastAsia="zh-CN"/>
              </w:rPr>
              <w:t>7</w:t>
            </w:r>
            <w:r>
              <w:rPr>
                <w:rFonts w:hint="eastAsia"/>
              </w:rPr>
              <w:t>-202</w:t>
            </w:r>
            <w:r>
              <w:rPr>
                <w:rFonts w:hint="eastAsia"/>
                <w:lang w:val="en-US" w:eastAsia="zh-CN"/>
              </w:rPr>
              <w:t>8</w:t>
            </w:r>
            <w:r>
              <w:rPr>
                <w:rFonts w:hint="eastAsia"/>
              </w:rPr>
              <w:t>-</w:t>
            </w:r>
            <w:r>
              <w:rPr>
                <w:rFonts w:hint="eastAsia"/>
                <w:lang w:val="en-US" w:eastAsia="zh-CN"/>
              </w:rPr>
              <w:t>1</w:t>
            </w:r>
          </w:p>
        </w:tc>
        <w:tc>
          <w:tcPr>
            <w:tcW w:w="1410" w:type="dxa"/>
            <w:vAlign w:val="center"/>
          </w:tcPr>
          <w:p w14:paraId="6BC795C3">
            <w:pPr>
              <w:autoSpaceDN w:val="0"/>
              <w:spacing w:line="300" w:lineRule="auto"/>
              <w:jc w:val="center"/>
              <w:textAlignment w:val="center"/>
            </w:pPr>
            <w:r>
              <w:rPr>
                <w:rFonts w:hint="eastAsia"/>
                <w:lang w:val="en-US" w:eastAsia="zh-CN"/>
              </w:rPr>
              <w:t>考查</w:t>
            </w:r>
          </w:p>
        </w:tc>
      </w:tr>
      <w:tr w14:paraId="587B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29" w:type="dxa"/>
            <w:vAlign w:val="center"/>
          </w:tcPr>
          <w:p w14:paraId="306543FD">
            <w:pPr>
              <w:autoSpaceDN w:val="0"/>
              <w:spacing w:line="300" w:lineRule="auto"/>
              <w:jc w:val="center"/>
              <w:textAlignment w:val="center"/>
              <w:rPr>
                <w:rFonts w:hAnsi="宋体"/>
              </w:rPr>
            </w:pPr>
            <w:r>
              <w:rPr>
                <w:rFonts w:hint="eastAsia" w:hAnsi="宋体"/>
              </w:rPr>
              <w:t>合计</w:t>
            </w:r>
          </w:p>
        </w:tc>
        <w:tc>
          <w:tcPr>
            <w:tcW w:w="575" w:type="dxa"/>
            <w:vAlign w:val="center"/>
          </w:tcPr>
          <w:p w14:paraId="4C226C17">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10</w:t>
            </w:r>
          </w:p>
        </w:tc>
        <w:tc>
          <w:tcPr>
            <w:tcW w:w="910" w:type="dxa"/>
            <w:vAlign w:val="center"/>
          </w:tcPr>
          <w:p w14:paraId="3C7562DB">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160</w:t>
            </w:r>
          </w:p>
        </w:tc>
        <w:tc>
          <w:tcPr>
            <w:tcW w:w="650" w:type="dxa"/>
            <w:vAlign w:val="center"/>
          </w:tcPr>
          <w:p w14:paraId="4E6FEAB5">
            <w:pPr>
              <w:autoSpaceDN w:val="0"/>
              <w:spacing w:line="300" w:lineRule="auto"/>
              <w:jc w:val="center"/>
              <w:textAlignment w:val="center"/>
              <w:rPr>
                <w:rFonts w:hint="eastAsia" w:hAnsi="宋体" w:eastAsiaTheme="minorEastAsia"/>
                <w:lang w:val="en-US" w:eastAsia="zh-CN"/>
              </w:rPr>
            </w:pPr>
            <w:r>
              <w:rPr>
                <w:rFonts w:hint="eastAsia" w:hAnsi="宋体"/>
                <w:lang w:val="en-US" w:eastAsia="zh-CN"/>
              </w:rPr>
              <w:t>142</w:t>
            </w:r>
          </w:p>
        </w:tc>
        <w:tc>
          <w:tcPr>
            <w:tcW w:w="825" w:type="dxa"/>
            <w:vAlign w:val="center"/>
          </w:tcPr>
          <w:p w14:paraId="4147E018">
            <w:pPr>
              <w:autoSpaceDN w:val="0"/>
              <w:spacing w:line="300" w:lineRule="auto"/>
              <w:jc w:val="center"/>
              <w:textAlignment w:val="center"/>
              <w:rPr>
                <w:rFonts w:hint="default" w:hAnsi="宋体" w:eastAsiaTheme="minorEastAsia"/>
                <w:lang w:val="en-US" w:eastAsia="zh-CN"/>
              </w:rPr>
            </w:pPr>
            <w:r>
              <w:rPr>
                <w:rFonts w:hint="eastAsia" w:hAnsi="宋体"/>
                <w:lang w:val="en-US" w:eastAsia="zh-CN"/>
              </w:rPr>
              <w:t>18</w:t>
            </w:r>
          </w:p>
        </w:tc>
        <w:tc>
          <w:tcPr>
            <w:tcW w:w="795" w:type="dxa"/>
            <w:vAlign w:val="center"/>
          </w:tcPr>
          <w:p w14:paraId="52245A17">
            <w:pPr>
              <w:autoSpaceDN w:val="0"/>
              <w:spacing w:line="300" w:lineRule="auto"/>
              <w:jc w:val="center"/>
              <w:textAlignment w:val="center"/>
              <w:rPr>
                <w:rFonts w:hAnsi="宋体"/>
              </w:rPr>
            </w:pPr>
          </w:p>
        </w:tc>
        <w:tc>
          <w:tcPr>
            <w:tcW w:w="1365" w:type="dxa"/>
            <w:vAlign w:val="center"/>
          </w:tcPr>
          <w:p w14:paraId="04BBA59A">
            <w:pPr>
              <w:autoSpaceDN w:val="0"/>
              <w:spacing w:line="300" w:lineRule="auto"/>
              <w:textAlignment w:val="center"/>
            </w:pPr>
          </w:p>
        </w:tc>
        <w:tc>
          <w:tcPr>
            <w:tcW w:w="1410" w:type="dxa"/>
            <w:vAlign w:val="center"/>
          </w:tcPr>
          <w:p w14:paraId="45066F59">
            <w:pPr>
              <w:autoSpaceDN w:val="0"/>
              <w:spacing w:line="300" w:lineRule="auto"/>
              <w:jc w:val="center"/>
              <w:textAlignment w:val="center"/>
            </w:pPr>
          </w:p>
        </w:tc>
      </w:tr>
    </w:tbl>
    <w:p w14:paraId="30396150">
      <w:pPr>
        <w:spacing w:line="360" w:lineRule="auto"/>
        <w:jc w:val="left"/>
        <w:rPr>
          <w:rFonts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color w:val="auto"/>
          <w:sz w:val="24"/>
        </w:rPr>
        <w:t>注意：开课学期在连续四个学期内，课程授课安排主要在晚上或周末时间，具体见课表。</w:t>
      </w:r>
    </w:p>
    <w:p w14:paraId="0EF76280">
      <w:pPr>
        <w:spacing w:line="360" w:lineRule="auto"/>
        <w:ind w:firstLine="562" w:firstLineChars="200"/>
        <w:jc w:val="left"/>
        <w:rPr>
          <w:rFonts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（二）课程具体介绍</w:t>
      </w:r>
    </w:p>
    <w:p w14:paraId="27FCFB85">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1.工程智能诊断技术概论</w:t>
      </w:r>
    </w:p>
    <w:p w14:paraId="4B2B9F98">
      <w:pPr>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课程概述】本课程面向智能装备运维、工程结构健康监测和工业设备故障检测等应用领域，系统介绍工程智能诊断的基本理论、关键技术与工程实践。课程内容涵盖工程设备与结构的故障失效机理、多源传感检测技术、工程信号预处理与特征提取、智能诊断核心算法、诊断系统组成与总体架构，并进一步介绍轻量化诊断、多模态信息融合、少样本学习及数字孪生等前沿技术。</w:t>
      </w:r>
    </w:p>
    <w:p w14:paraId="076132F3">
      <w:pPr>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通过本课程学习，学生能够理解工程故障从产生、演化到被感知和识别的基本过程，掌握监测数据处理、特征分析、诊断模型选择与应用的基础方法，了解工程智能诊断系统的设计思路与实施流程，具备分析典型工程故障、处理多源监测数据、应用常用智能诊断算法以及设计简易诊断方案的基本能力，为后续从事智能工程、智能制造、智慧基础设施、设备运维及相关科研工作奠定理论与实践基础。</w:t>
      </w:r>
    </w:p>
    <w:p w14:paraId="7C7B8621">
      <w:pPr>
        <w:spacing w:line="360" w:lineRule="auto"/>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2.传感器与物联网技术</w:t>
      </w:r>
    </w:p>
    <w:p w14:paraId="35224ACD">
      <w:pPr>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【课程概述】本课程是土木工程与物联网工程等多个学科的交叉融合课程，既要培养学生掌握传感器</w:t>
      </w:r>
      <w:r>
        <w:rPr>
          <w:rFonts w:hint="eastAsia" w:ascii="宋体" w:hAnsi="宋体" w:eastAsia="宋体" w:cs="宋体"/>
          <w:color w:val="auto"/>
          <w:sz w:val="28"/>
          <w:szCs w:val="28"/>
          <w:lang w:val="en-US" w:eastAsia="zh-CN"/>
        </w:rPr>
        <w:t>与</w:t>
      </w:r>
      <w:r>
        <w:rPr>
          <w:rFonts w:hint="eastAsia" w:ascii="宋体" w:hAnsi="宋体" w:eastAsia="宋体" w:cs="宋体"/>
          <w:color w:val="auto"/>
          <w:sz w:val="28"/>
          <w:szCs w:val="28"/>
        </w:rPr>
        <w:t>物联网的基本概念、系统架构、工作原理，掌握传感器</w:t>
      </w:r>
      <w:r>
        <w:rPr>
          <w:rFonts w:hint="eastAsia" w:ascii="宋体" w:hAnsi="宋体" w:eastAsia="宋体" w:cs="宋体"/>
          <w:color w:val="auto"/>
          <w:sz w:val="28"/>
          <w:szCs w:val="28"/>
          <w:lang w:val="en-US" w:eastAsia="zh-CN"/>
        </w:rPr>
        <w:t>与</w:t>
      </w:r>
      <w:r>
        <w:rPr>
          <w:rFonts w:hint="eastAsia" w:ascii="宋体" w:hAnsi="宋体" w:eastAsia="宋体" w:cs="宋体"/>
          <w:color w:val="auto"/>
          <w:sz w:val="28"/>
          <w:szCs w:val="28"/>
        </w:rPr>
        <w:t>物联网的基本知识，又要培养学生掌握传感器及其工作原理和基本应用。还要锻炼学生将传感器、物联网等技术在土木水利工程中应用的能力。学完本课程后，学生将具备基本的传感与物联网技术的应用能力。</w:t>
      </w:r>
    </w:p>
    <w:p w14:paraId="2FDBC75C">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3.基础设施病害识别技术</w:t>
      </w:r>
    </w:p>
    <w:p w14:paraId="31AB1B14">
      <w:pPr>
        <w:spacing w:line="360" w:lineRule="auto"/>
        <w:ind w:firstLine="560" w:firstLineChars="200"/>
        <w:rPr>
          <w:rFonts w:hint="eastAsia" w:ascii="Times New Roman" w:hAnsi="Times New Roman" w:eastAsia="宋体"/>
          <w:sz w:val="28"/>
          <w:szCs w:val="28"/>
        </w:rPr>
      </w:pPr>
      <w:r>
        <w:rPr>
          <w:rFonts w:hint="eastAsia" w:ascii="Times New Roman" w:hAnsi="Times New Roman" w:eastAsia="宋体"/>
          <w:sz w:val="28"/>
          <w:szCs w:val="28"/>
        </w:rPr>
        <w:t>【课程概述】基础设施病害识别技术面向建筑、道路、桥梁、隧道等设施服役安全，研究各类病害形成机理、检测识别与状态评价方法的专业课程。课程围绕病害识别与成因分析、材料性能及动力特性检测、智能检测与监测技术，并以建筑与公共服务设施、交通类基础设施、岩土与地下工程等场景的病害识别展开</w:t>
      </w:r>
      <w:r>
        <w:rPr>
          <w:rFonts w:hint="eastAsia" w:ascii="Times New Roman" w:hAnsi="Times New Roman" w:eastAsia="宋体"/>
          <w:sz w:val="28"/>
          <w:szCs w:val="28"/>
          <w:lang w:eastAsia="zh-CN"/>
        </w:rPr>
        <w:t>，</w:t>
      </w:r>
      <w:r>
        <w:rPr>
          <w:rFonts w:hint="eastAsia" w:ascii="Times New Roman" w:hAnsi="Times New Roman" w:eastAsia="宋体"/>
          <w:sz w:val="28"/>
          <w:szCs w:val="28"/>
          <w:lang w:val="en-US" w:eastAsia="zh-CN"/>
        </w:rPr>
        <w:t>讲解</w:t>
      </w:r>
      <w:r>
        <w:rPr>
          <w:rFonts w:hint="eastAsia" w:ascii="Times New Roman" w:hAnsi="Times New Roman" w:eastAsia="宋体"/>
          <w:sz w:val="28"/>
          <w:szCs w:val="28"/>
        </w:rPr>
        <w:t>机器视觉、声波、振动、电磁波等方法及监测系统数据采集传输处理</w:t>
      </w:r>
      <w:r>
        <w:rPr>
          <w:rFonts w:hint="eastAsia" w:ascii="Times New Roman" w:hAnsi="Times New Roman" w:eastAsia="宋体"/>
          <w:sz w:val="28"/>
          <w:szCs w:val="28"/>
          <w:lang w:eastAsia="zh-CN"/>
        </w:rPr>
        <w:t>。</w:t>
      </w:r>
      <w:r>
        <w:rPr>
          <w:rFonts w:hint="eastAsia" w:ascii="Times New Roman" w:hAnsi="Times New Roman" w:eastAsia="宋体"/>
          <w:sz w:val="28"/>
          <w:szCs w:val="28"/>
        </w:rPr>
        <w:t>结合高层建筑、大跨结构、桥梁隧道、基坑边坡等实例</w:t>
      </w:r>
      <w:r>
        <w:rPr>
          <w:rFonts w:hint="eastAsia" w:ascii="Times New Roman" w:hAnsi="Times New Roman" w:eastAsia="宋体"/>
          <w:sz w:val="28"/>
          <w:szCs w:val="28"/>
          <w:lang w:eastAsia="zh-CN"/>
        </w:rPr>
        <w:t>，</w:t>
      </w:r>
      <w:r>
        <w:rPr>
          <w:rFonts w:hint="eastAsia" w:ascii="Times New Roman" w:hAnsi="Times New Roman" w:eastAsia="宋体"/>
          <w:sz w:val="28"/>
          <w:szCs w:val="28"/>
        </w:rPr>
        <w:t>使学生掌握病害识别基本理论与技术路径，具备工程检测与智慧运维的能力。</w:t>
      </w:r>
    </w:p>
    <w:p w14:paraId="42204ACC">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4.结构智能健康监测</w:t>
      </w:r>
    </w:p>
    <w:p w14:paraId="24C2CDB9">
      <w:pPr>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课程概述】结构智能健康监测是将传统结构健康监测技术与现代智能传感、物联网、大数据等技术交叉融合的一门课程，是土木工程学科向智能化方向发展的核心组成部分。课程重点介绍结构健康监测系统的基本概念、系统架构与发展现状，智能传感元件的工作原理与选型方法，数据采集与无线传输的关键技术，以及监测数据的初步处理与分析手段，助力学生从系统层面理解结构健康监测的完整技术链条。通过该课程学习和实践，使学生了解国内外重大工程结构健康监测的应用现状，熟悉智能监测系统的核心硬件与数据流处理环节，初步掌握监测系统设计与布设的基本方法，综合理解并运用传感器、数据采集与传输等相关技术，为学生今后从事智能建造、结构运维及健康监测相关领域工作奠定坚实的专业知识基础。</w:t>
      </w:r>
    </w:p>
    <w:p w14:paraId="0443E038">
      <w:pPr>
        <w:spacing w:line="360" w:lineRule="auto"/>
        <w:ind w:firstLine="560" w:firstLineChars="200"/>
        <w:jc w:val="left"/>
        <w:rPr>
          <w:rFonts w:hint="default" w:ascii="宋体" w:hAnsi="宋体" w:eastAsia="宋体" w:cs="宋体"/>
          <w:sz w:val="28"/>
          <w:szCs w:val="28"/>
          <w:lang w:val="en-US" w:eastAsia="zh-CN"/>
        </w:rPr>
      </w:pPr>
      <w:r>
        <w:rPr>
          <w:rFonts w:hint="eastAsia" w:ascii="宋体" w:hAnsi="宋体" w:eastAsia="宋体" w:cs="宋体"/>
          <w:sz w:val="28"/>
          <w:szCs w:val="28"/>
        </w:rPr>
        <w:t>5.结构智能健康诊断与实践</w:t>
      </w:r>
    </w:p>
    <w:p w14:paraId="0D9209A8">
      <w:pPr>
        <w:spacing w:line="360" w:lineRule="auto"/>
        <w:ind w:firstLine="560" w:firstLineChars="200"/>
        <w:jc w:val="left"/>
        <w:rPr>
          <w:rFonts w:hint="eastAsia" w:ascii="宋体" w:hAnsi="宋体" w:eastAsia="宋体" w:cs="宋体"/>
          <w:color w:val="000000" w:themeColor="text1"/>
          <w:sz w:val="28"/>
          <w:szCs w:val="28"/>
          <w14:textFill>
            <w14:solidFill>
              <w14:schemeClr w14:val="tx1"/>
            </w14:solidFill>
          </w14:textFill>
        </w:rPr>
      </w:pPr>
      <w:r>
        <w:rPr>
          <w:rFonts w:hint="eastAsia" w:ascii="Times New Roman" w:hAnsi="Times New Roman" w:eastAsia="宋体"/>
          <w:sz w:val="28"/>
          <w:szCs w:val="28"/>
        </w:rPr>
        <w:t>【课程概述】结构智能健康诊断与实践是面向土木工程智能检测与运维领域的一门实践性专业课程，是在结构健康监测基础上向数据分析与损伤判定方向的深化延伸。课程重点介绍基于监测数据的结构损伤识别方法、智能算法在诊断中的应用技术，以及结构状态评估与诊断报告的生成流程，涵盖数据预处理、特征提取、机器学习诊断、阈值设定与风险判定等核心内容，助力学生建立从“感知”到“诊断”的完整知识闭环。通过该课程学习和实践，使学生了解国内外结构智能诊断领域的先进方法与典型应用案例，熟悉基于振动、应变、图像等多源数据的损伤识别技术路径，掌握利用智能算法进行结构健康状态诊断的基本流程与实操技能，综合运用数据分析工具解决实际工程诊断问题，为学生今后在智能运维、结构安全评估及相关领域开展工作提供强有力的专业知识保证与实践能力支撑。</w:t>
      </w:r>
    </w:p>
    <w:p w14:paraId="0DE5A977">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三、招生计划</w:t>
      </w:r>
    </w:p>
    <w:p w14:paraId="276C8287">
      <w:pPr>
        <w:spacing w:line="360" w:lineRule="auto"/>
        <w:ind w:firstLine="560" w:firstLineChars="200"/>
        <w:rPr>
          <w:rFonts w:ascii="Times New Roman" w:hAnsi="Times New Roman" w:eastAsia="宋体"/>
          <w:color w:val="FF0000"/>
          <w:sz w:val="28"/>
          <w:szCs w:val="28"/>
        </w:rPr>
      </w:pPr>
      <w:r>
        <w:rPr>
          <w:rFonts w:hint="eastAsia" w:ascii="Times New Roman" w:hAnsi="Times New Roman" w:eastAsia="宋体"/>
          <w:color w:val="000000" w:themeColor="text1"/>
          <w:sz w:val="28"/>
          <w:szCs w:val="28"/>
          <w14:textFill>
            <w14:solidFill>
              <w14:schemeClr w14:val="tx1"/>
            </w14:solidFill>
          </w14:textFill>
        </w:rPr>
        <w:t>计划招生人数：30人左右。</w:t>
      </w:r>
    </w:p>
    <w:p w14:paraId="352EB9E8">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四、招生要求</w:t>
      </w:r>
    </w:p>
    <w:p w14:paraId="2B337E1C">
      <w:pPr>
        <w:spacing w:line="360" w:lineRule="auto"/>
        <w:ind w:firstLine="560" w:firstLineChars="200"/>
        <w:rPr>
          <w:rFonts w:hint="eastAsia" w:ascii="Times New Roman" w:hAnsi="Times New Roman" w:eastAsia="宋体"/>
          <w:color w:val="000000" w:themeColor="text1"/>
          <w:sz w:val="28"/>
          <w:szCs w:val="28"/>
          <w:lang w:eastAsia="zh-CN"/>
          <w14:textFill>
            <w14:solidFill>
              <w14:schemeClr w14:val="tx1"/>
            </w14:solidFill>
          </w14:textFill>
        </w:rPr>
      </w:pPr>
      <w:r>
        <w:rPr>
          <w:rFonts w:hint="eastAsia" w:ascii="Times New Roman" w:hAnsi="Times New Roman" w:eastAsia="宋体"/>
          <w:color w:val="000000" w:themeColor="text1"/>
          <w:sz w:val="28"/>
          <w:szCs w:val="28"/>
          <w14:textFill>
            <w14:solidFill>
              <w14:schemeClr w14:val="tx1"/>
            </w14:solidFill>
          </w14:textFill>
        </w:rPr>
        <w:t>水利工程学院、土木</w:t>
      </w:r>
      <w:r>
        <w:rPr>
          <w:rFonts w:hint="eastAsia" w:ascii="Times New Roman" w:hAnsi="Times New Roman" w:eastAsia="宋体"/>
          <w:color w:val="000000" w:themeColor="text1"/>
          <w:sz w:val="28"/>
          <w:szCs w:val="28"/>
          <w:lang w:val="en-US" w:eastAsia="zh-CN"/>
          <w14:textFill>
            <w14:solidFill>
              <w14:schemeClr w14:val="tx1"/>
            </w14:solidFill>
          </w14:textFill>
        </w:rPr>
        <w:t>与安全</w:t>
      </w:r>
      <w:r>
        <w:rPr>
          <w:rFonts w:hint="eastAsia" w:ascii="Times New Roman" w:hAnsi="Times New Roman" w:eastAsia="宋体"/>
          <w:color w:val="000000" w:themeColor="text1"/>
          <w:sz w:val="28"/>
          <w:szCs w:val="28"/>
          <w14:textFill>
            <w14:solidFill>
              <w14:schemeClr w14:val="tx1"/>
            </w14:solidFill>
          </w14:textFill>
        </w:rPr>
        <w:t>工程学院、电</w:t>
      </w:r>
      <w:r>
        <w:rPr>
          <w:rFonts w:hint="eastAsia" w:ascii="Times New Roman" w:hAnsi="Times New Roman" w:eastAsia="宋体"/>
          <w:color w:val="000000" w:themeColor="text1"/>
          <w:sz w:val="28"/>
          <w:szCs w:val="28"/>
          <w:lang w:val="en-US" w:eastAsia="zh-CN"/>
          <w14:textFill>
            <w14:solidFill>
              <w14:schemeClr w14:val="tx1"/>
            </w14:solidFill>
          </w14:textFill>
        </w:rPr>
        <w:t>气与信息</w:t>
      </w:r>
      <w:r>
        <w:rPr>
          <w:rFonts w:hint="eastAsia" w:ascii="Times New Roman" w:hAnsi="Times New Roman" w:eastAsia="宋体"/>
          <w:color w:val="000000" w:themeColor="text1"/>
          <w:sz w:val="28"/>
          <w:szCs w:val="28"/>
          <w14:textFill>
            <w14:solidFill>
              <w14:schemeClr w14:val="tx1"/>
            </w14:solidFill>
          </w14:textFill>
        </w:rPr>
        <w:t>工程学院、计算机与人工智能学院、机械</w:t>
      </w:r>
      <w:r>
        <w:rPr>
          <w:rFonts w:hint="eastAsia" w:ascii="Times New Roman" w:hAnsi="Times New Roman" w:eastAsia="宋体"/>
          <w:color w:val="000000" w:themeColor="text1"/>
          <w:sz w:val="28"/>
          <w:szCs w:val="28"/>
          <w:lang w:val="en-US" w:eastAsia="zh-CN"/>
          <w14:textFill>
            <w14:solidFill>
              <w14:schemeClr w14:val="tx1"/>
            </w14:solidFill>
          </w14:textFill>
        </w:rPr>
        <w:t>与车辆</w:t>
      </w:r>
      <w:r>
        <w:rPr>
          <w:rFonts w:hint="eastAsia" w:ascii="Times New Roman" w:hAnsi="Times New Roman" w:eastAsia="宋体"/>
          <w:color w:val="000000" w:themeColor="text1"/>
          <w:sz w:val="28"/>
          <w:szCs w:val="28"/>
          <w14:textFill>
            <w14:solidFill>
              <w14:schemeClr w14:val="tx1"/>
            </w14:solidFill>
          </w14:textFill>
        </w:rPr>
        <w:t>工程学院</w:t>
      </w:r>
      <w:r>
        <w:rPr>
          <w:rFonts w:hint="eastAsia" w:ascii="Times New Roman" w:hAnsi="Times New Roman" w:eastAsia="宋体"/>
          <w:color w:val="000000" w:themeColor="text1"/>
          <w:sz w:val="28"/>
          <w:szCs w:val="28"/>
          <w:lang w:eastAsia="zh-CN"/>
          <w14:textFill>
            <w14:solidFill>
              <w14:schemeClr w14:val="tx1"/>
            </w14:solidFill>
          </w14:textFill>
        </w:rPr>
        <w:t>、</w:t>
      </w:r>
      <w:r>
        <w:rPr>
          <w:rFonts w:hint="eastAsia" w:ascii="Times New Roman" w:hAnsi="Times New Roman" w:eastAsia="宋体"/>
          <w:color w:val="000000" w:themeColor="text1"/>
          <w:sz w:val="28"/>
          <w:szCs w:val="28"/>
          <w:lang w:val="en-US" w:eastAsia="zh-CN"/>
          <w14:textFill>
            <w14:solidFill>
              <w14:schemeClr w14:val="tx1"/>
            </w14:solidFill>
          </w14:textFill>
        </w:rPr>
        <w:t>新能源学院</w:t>
      </w:r>
      <w:r>
        <w:rPr>
          <w:rFonts w:hint="eastAsia" w:ascii="Times New Roman" w:hAnsi="Times New Roman" w:eastAsia="宋体"/>
          <w:color w:val="000000" w:themeColor="text1"/>
          <w:sz w:val="28"/>
          <w:szCs w:val="28"/>
          <w14:textFill>
            <w14:solidFill>
              <w14:schemeClr w14:val="tx1"/>
            </w14:solidFill>
          </w14:textFill>
        </w:rPr>
        <w:t>所有专业</w:t>
      </w:r>
      <w:r>
        <w:rPr>
          <w:rFonts w:hint="eastAsia" w:ascii="Times New Roman" w:hAnsi="Times New Roman" w:eastAsia="宋体"/>
          <w:color w:val="000000" w:themeColor="text1"/>
          <w:sz w:val="28"/>
          <w:szCs w:val="28"/>
          <w:lang w:eastAsia="zh-CN"/>
          <w14:textFill>
            <w14:solidFill>
              <w14:schemeClr w14:val="tx1"/>
            </w14:solidFill>
          </w14:textFill>
        </w:rPr>
        <w:t>。</w:t>
      </w:r>
    </w:p>
    <w:p w14:paraId="5B926B8E">
      <w:pPr>
        <w:spacing w:line="360" w:lineRule="auto"/>
        <w:ind w:firstLine="643" w:firstLineChars="200"/>
        <w:jc w:val="left"/>
        <w:rPr>
          <w:rFonts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五、微专业联系人及联系方式</w:t>
      </w:r>
    </w:p>
    <w:p w14:paraId="41B36969">
      <w:pPr>
        <w:ind w:firstLine="560" w:firstLineChars="200"/>
        <w:jc w:val="both"/>
        <w:rPr>
          <w:rFonts w:ascii="Times New Roman" w:hAnsi="Times New Roman"/>
          <w:sz w:val="28"/>
          <w:szCs w:val="28"/>
        </w:rPr>
      </w:pPr>
      <w:r>
        <w:rPr>
          <w:rFonts w:hint="eastAsia" w:ascii="宋体" w:hAnsi="宋体" w:cs="宋体"/>
          <w:sz w:val="28"/>
          <w:szCs w:val="28"/>
        </w:rPr>
        <w:t>联系人：</w:t>
      </w:r>
      <w:r>
        <w:rPr>
          <w:rFonts w:hint="eastAsia" w:ascii="宋体" w:hAnsi="宋体" w:cs="宋体"/>
          <w:sz w:val="28"/>
          <w:szCs w:val="28"/>
          <w:lang w:val="en-US" w:eastAsia="zh-CN"/>
        </w:rPr>
        <w:t>刘</w:t>
      </w:r>
      <w:r>
        <w:rPr>
          <w:rFonts w:hint="eastAsia" w:ascii="宋体" w:hAnsi="宋体" w:cs="宋体"/>
          <w:sz w:val="28"/>
          <w:szCs w:val="28"/>
        </w:rPr>
        <w:t>老师</w:t>
      </w:r>
      <w:r>
        <w:rPr>
          <w:rFonts w:hint="eastAsia" w:ascii="Times New Roman" w:hAnsi="Times New Roman"/>
          <w:sz w:val="28"/>
          <w:szCs w:val="28"/>
        </w:rPr>
        <w:t xml:space="preserve"> </w:t>
      </w:r>
      <w:r>
        <w:rPr>
          <w:rFonts w:ascii="Times New Roman" w:hAnsi="Times New Roman"/>
          <w:sz w:val="28"/>
          <w:szCs w:val="28"/>
        </w:rPr>
        <w:t xml:space="preserve">               </w:t>
      </w:r>
    </w:p>
    <w:p w14:paraId="6796696D">
      <w:pPr>
        <w:ind w:firstLine="560" w:firstLineChars="200"/>
        <w:jc w:val="both"/>
        <w:rPr>
          <w:rFonts w:ascii="Times New Roman" w:hAnsi="Times New Roman"/>
          <w:sz w:val="28"/>
          <w:szCs w:val="28"/>
        </w:rPr>
      </w:pPr>
      <w:r>
        <w:rPr>
          <w:rFonts w:hint="eastAsia" w:ascii="宋体" w:hAnsi="宋体" w:cs="宋体"/>
          <w:sz w:val="28"/>
          <w:szCs w:val="28"/>
        </w:rPr>
        <w:t>电话：</w:t>
      </w:r>
      <w:r>
        <w:rPr>
          <w:rFonts w:ascii="Times New Roman" w:hAnsi="Times New Roman"/>
          <w:sz w:val="28"/>
          <w:szCs w:val="28"/>
        </w:rPr>
        <w:t>0555-52222057</w:t>
      </w:r>
    </w:p>
    <w:p w14:paraId="10A5FE24">
      <w:pPr>
        <w:ind w:firstLine="560" w:firstLineChars="200"/>
        <w:jc w:val="both"/>
        <w:rPr>
          <w:rFonts w:ascii="Times New Roman" w:hAnsi="Times New Roman"/>
          <w:sz w:val="28"/>
          <w:szCs w:val="28"/>
        </w:rPr>
      </w:pPr>
      <w:r>
        <w:rPr>
          <w:rFonts w:hint="eastAsia" w:ascii="宋体" w:hAnsi="宋体" w:cs="宋体"/>
          <w:sz w:val="28"/>
          <w:szCs w:val="28"/>
        </w:rPr>
        <w:t>邮箱：</w:t>
      </w:r>
      <w:r>
        <w:fldChar w:fldCharType="begin"/>
      </w:r>
      <w:r>
        <w:instrText xml:space="preserve"> HYPERLINK "mailto:1437913127@qq.com" </w:instrText>
      </w:r>
      <w:r>
        <w:fldChar w:fldCharType="separate"/>
      </w:r>
      <w:r>
        <w:rPr>
          <w:rStyle w:val="5"/>
          <w:rFonts w:hint="eastAsia" w:ascii="Times New Roman" w:hAnsi="Times New Roman"/>
          <w:color w:val="0026E5"/>
          <w:sz w:val="28"/>
          <w:szCs w:val="28"/>
        </w:rPr>
        <w:t>3200726223</w:t>
      </w:r>
      <w:r>
        <w:rPr>
          <w:rStyle w:val="5"/>
          <w:rFonts w:ascii="Times New Roman" w:hAnsi="Times New Roman"/>
          <w:color w:val="0026E5"/>
          <w:sz w:val="28"/>
          <w:szCs w:val="28"/>
        </w:rPr>
        <w:t>@qq.com</w:t>
      </w:r>
      <w:r>
        <w:rPr>
          <w:rStyle w:val="5"/>
          <w:rFonts w:ascii="Times New Roman" w:hAnsi="Times New Roman"/>
          <w:color w:val="0026E5"/>
          <w:sz w:val="28"/>
          <w:szCs w:val="28"/>
        </w:rPr>
        <w:fldChar w:fldCharType="end"/>
      </w:r>
      <w:r>
        <w:rPr>
          <w:rFonts w:ascii="Times New Roman" w:hAnsi="Times New Roman"/>
          <w:sz w:val="28"/>
          <w:szCs w:val="28"/>
        </w:rPr>
        <w:t xml:space="preserve">     </w:t>
      </w:r>
    </w:p>
    <w:p w14:paraId="567C377C">
      <w:pPr>
        <w:ind w:firstLine="560" w:firstLineChars="200"/>
        <w:jc w:val="both"/>
        <w:outlineLvl w:val="0"/>
        <w:rPr>
          <w:rFonts w:hint="default" w:ascii="Times New Roman" w:hAnsi="Times New Roman" w:eastAsia="宋体"/>
          <w:sz w:val="28"/>
          <w:szCs w:val="28"/>
          <w:lang w:val="en-US" w:eastAsia="zh-CN"/>
        </w:rPr>
      </w:pPr>
      <w:r>
        <w:rPr>
          <w:rFonts w:ascii="Times New Roman" w:hAnsi="Times New Roman"/>
          <w:sz w:val="28"/>
          <w:szCs w:val="28"/>
        </w:rPr>
        <w:t>QQ</w:t>
      </w:r>
      <w:r>
        <w:rPr>
          <w:rFonts w:hint="eastAsia" w:ascii="宋体" w:hAnsi="宋体" w:cs="宋体"/>
          <w:sz w:val="28"/>
          <w:szCs w:val="28"/>
        </w:rPr>
        <w:t>群：</w:t>
      </w:r>
      <w:r>
        <w:rPr>
          <w:rFonts w:ascii="Times New Roman" w:hAnsi="Times New Roman"/>
          <w:sz w:val="28"/>
          <w:szCs w:val="28"/>
        </w:rPr>
        <w:t>1</w:t>
      </w:r>
      <w:r>
        <w:rPr>
          <w:rFonts w:hint="eastAsia" w:ascii="Times New Roman" w:hAnsi="Times New Roman"/>
          <w:sz w:val="28"/>
          <w:szCs w:val="28"/>
          <w:lang w:val="en-US" w:eastAsia="zh-CN"/>
        </w:rPr>
        <w:t>108538638</w:t>
      </w:r>
    </w:p>
    <w:p w14:paraId="4E4F094B">
      <w:pPr>
        <w:ind w:firstLine="420" w:firstLineChars="200"/>
        <w:jc w:val="both"/>
        <w:rPr>
          <w:rFonts w:ascii="Times New Roman" w:hAnsi="Times New Roman" w:eastAsia="宋体"/>
          <w:color w:val="000000" w:themeColor="text1"/>
          <w:sz w:val="28"/>
          <w:szCs w:val="28"/>
          <w14:textFill>
            <w14:solidFill>
              <w14:schemeClr w14:val="tx1"/>
            </w14:solidFill>
          </w14:textFill>
        </w:rPr>
      </w:pPr>
      <w:r>
        <w:drawing>
          <wp:inline distT="0" distB="0" distL="114300" distR="114300">
            <wp:extent cx="2305050" cy="2924175"/>
            <wp:effectExtent l="0" t="0" r="0"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
                    <a:stretch>
                      <a:fillRect/>
                    </a:stretch>
                  </pic:blipFill>
                  <pic:spPr>
                    <a:xfrm>
                      <a:off x="0" y="0"/>
                      <a:ext cx="2305050" cy="292417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0OGIyYTAxMTU3YzcyYzBiMTQwOGViNGVkNjUyNmYifQ=="/>
  </w:docVars>
  <w:rsids>
    <w:rsidRoot w:val="31516727"/>
    <w:rsid w:val="00387DDC"/>
    <w:rsid w:val="007A6B15"/>
    <w:rsid w:val="0094265D"/>
    <w:rsid w:val="00F54236"/>
    <w:rsid w:val="052D52E7"/>
    <w:rsid w:val="0CA52803"/>
    <w:rsid w:val="0DAF3C74"/>
    <w:rsid w:val="1319085D"/>
    <w:rsid w:val="17780248"/>
    <w:rsid w:val="1B1262BE"/>
    <w:rsid w:val="25513DC9"/>
    <w:rsid w:val="31516727"/>
    <w:rsid w:val="334E34B9"/>
    <w:rsid w:val="44D923C6"/>
    <w:rsid w:val="47573FE0"/>
    <w:rsid w:val="4CCC1EC1"/>
    <w:rsid w:val="4F724679"/>
    <w:rsid w:val="4F8A19D3"/>
    <w:rsid w:val="531B6048"/>
    <w:rsid w:val="533E4E68"/>
    <w:rsid w:val="5B5918E9"/>
    <w:rsid w:val="5E9D546B"/>
    <w:rsid w:val="5F4B73DB"/>
    <w:rsid w:val="654C5A15"/>
    <w:rsid w:val="76F96B4C"/>
    <w:rsid w:val="7AFD1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1921</Words>
  <Characters>2032</Characters>
  <Lines>94</Lines>
  <Paragraphs>59</Paragraphs>
  <TotalTime>0</TotalTime>
  <ScaleCrop>false</ScaleCrop>
  <LinksUpToDate>false</LinksUpToDate>
  <CharactersWithSpaces>2057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2025-08-30T08:06:00Z</dcterms:created>
  <dc:creator>柚心</dc:creator>
  <cp:lastModifiedBy>西瓜汁</cp:lastModifiedBy>
  <dcterms:modified xsi:type="dcterms:W3CDTF">2026-09-20T02:36:51Z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C2DB3DA30E1D4B368D54166A41DBEDCC_13</vt:lpwstr>
  </property>
  <property fmtid="{D5CDD505-2E9C-101B-9397-08002B2CF9AE}" pid="4" name="KSOTemplateDocerSaveRecord">
    <vt:lpwstr>eyJoZGlkIjoiNTU2YTQ1ZTEzMmY3MjA5OWMwZmI3NWM4M2VjMGZmMDEiLCJ1c2VySWQiOiIyODA3NzU3NDEifQ==</vt:lpwstr>
  </property>
</Properties>
</file>