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0A525">
      <w:pPr>
        <w:spacing w:line="360" w:lineRule="auto"/>
        <w:jc w:val="both"/>
        <w:rPr>
          <w:rFonts w:hint="eastAsia" w:ascii="黑体" w:hAnsi="黑体" w:eastAsia="黑体" w:cs="黑体"/>
          <w:b/>
          <w:bCs/>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附件</w:t>
      </w:r>
      <w:r>
        <w:rPr>
          <w:rFonts w:hint="eastAsia" w:ascii="黑体" w:hAnsi="黑体" w:eastAsia="黑体" w:cs="黑体"/>
          <w:b/>
          <w:bCs/>
          <w:color w:val="000000" w:themeColor="text1"/>
          <w:sz w:val="32"/>
          <w:szCs w:val="32"/>
          <w:lang w:val="en-US" w:eastAsia="zh-CN"/>
          <w14:textFill>
            <w14:solidFill>
              <w14:schemeClr w14:val="tx1"/>
            </w14:solidFill>
          </w14:textFill>
        </w:rPr>
        <w:t>7</w:t>
      </w:r>
      <w:r>
        <w:rPr>
          <w:rFonts w:hint="eastAsia" w:ascii="黑体" w:hAnsi="黑体" w:eastAsia="黑体" w:cs="黑体"/>
          <w:b/>
          <w:bCs/>
          <w:color w:val="000000" w:themeColor="text1"/>
          <w:sz w:val="32"/>
          <w:szCs w:val="32"/>
          <w:lang w:eastAsia="zh-CN"/>
          <w14:textFill>
            <w14:solidFill>
              <w14:schemeClr w14:val="tx1"/>
            </w14:solidFill>
          </w14:textFill>
        </w:rPr>
        <w:t>：</w:t>
      </w:r>
      <w:bookmarkStart w:id="0" w:name="_GoBack"/>
      <w:bookmarkEnd w:id="0"/>
    </w:p>
    <w:p w14:paraId="4AC1BCF0">
      <w:pPr>
        <w:spacing w:line="360" w:lineRule="auto"/>
        <w:jc w:val="center"/>
        <w:rPr>
          <w:rFonts w:hint="eastAsia" w:asciiTheme="majorEastAsia" w:hAnsiTheme="majorEastAsia" w:eastAsiaTheme="majorEastAsia" w:cstheme="majorEastAsia"/>
          <w:b/>
          <w:bCs/>
          <w:color w:val="000000" w:themeColor="text1"/>
          <w:sz w:val="44"/>
          <w:szCs w:val="44"/>
          <w14:textFill>
            <w14:solidFill>
              <w14:schemeClr w14:val="tx1"/>
            </w14:solidFill>
          </w14:textFill>
        </w:rPr>
      </w:pPr>
      <w:r>
        <w:rPr>
          <w:rFonts w:hint="eastAsia" w:asciiTheme="majorEastAsia" w:hAnsiTheme="majorEastAsia" w:eastAsiaTheme="majorEastAsia" w:cstheme="majorEastAsia"/>
          <w:b/>
          <w:bCs/>
          <w:color w:val="000000" w:themeColor="text1"/>
          <w:sz w:val="44"/>
          <w:szCs w:val="44"/>
          <w14:textFill>
            <w14:solidFill>
              <w14:schemeClr w14:val="tx1"/>
            </w14:solidFill>
          </w14:textFill>
        </w:rPr>
        <w:t>皖江工学院《</w:t>
      </w:r>
      <w:r>
        <w:rPr>
          <w:rFonts w:hint="eastAsia" w:asciiTheme="majorEastAsia" w:hAnsiTheme="majorEastAsia" w:eastAsiaTheme="majorEastAsia" w:cstheme="majorEastAsia"/>
          <w:b/>
          <w:bCs/>
          <w:color w:val="000000" w:themeColor="text1"/>
          <w:sz w:val="44"/>
          <w:szCs w:val="44"/>
          <w:lang w:val="en-US" w:eastAsia="zh-CN"/>
          <w14:textFill>
            <w14:solidFill>
              <w14:schemeClr w14:val="tx1"/>
            </w14:solidFill>
          </w14:textFill>
        </w:rPr>
        <w:t>全过程数智化工程管理</w:t>
      </w:r>
      <w:r>
        <w:rPr>
          <w:rFonts w:hint="eastAsia" w:asciiTheme="majorEastAsia" w:hAnsiTheme="majorEastAsia" w:eastAsiaTheme="majorEastAsia" w:cstheme="majorEastAsia"/>
          <w:b/>
          <w:bCs/>
          <w:color w:val="000000" w:themeColor="text1"/>
          <w:sz w:val="44"/>
          <w:szCs w:val="44"/>
          <w14:textFill>
            <w14:solidFill>
              <w14:schemeClr w14:val="tx1"/>
            </w14:solidFill>
          </w14:textFill>
        </w:rPr>
        <w:t>》微专业招生方案</w:t>
      </w:r>
    </w:p>
    <w:p w14:paraId="4C88AA55">
      <w:pPr>
        <w:spacing w:line="360" w:lineRule="auto"/>
        <w:ind w:firstLine="643" w:firstLineChars="200"/>
        <w:jc w:val="left"/>
        <w:rPr>
          <w:rFonts w:hint="eastAsia" w:ascii="宋体" w:hAnsi="宋体" w:eastAsia="宋体" w:cs="宋体"/>
          <w:b/>
          <w:bCs/>
          <w:sz w:val="32"/>
          <w:szCs w:val="32"/>
        </w:rPr>
      </w:pPr>
    </w:p>
    <w:p w14:paraId="51D0141B">
      <w:pPr>
        <w:spacing w:line="360" w:lineRule="auto"/>
        <w:ind w:firstLine="643" w:firstLineChars="200"/>
        <w:jc w:val="left"/>
        <w:rPr>
          <w:rFonts w:ascii="宋体" w:hAnsi="宋体" w:eastAsia="宋体" w:cs="宋体"/>
          <w:b/>
          <w:bCs/>
          <w:color w:val="FF0000"/>
          <w:sz w:val="32"/>
          <w:szCs w:val="32"/>
        </w:rPr>
      </w:pPr>
      <w:r>
        <w:rPr>
          <w:rFonts w:hint="eastAsia" w:ascii="宋体" w:hAnsi="宋体" w:eastAsia="宋体" w:cs="宋体"/>
          <w:b/>
          <w:bCs/>
          <w:sz w:val="32"/>
          <w:szCs w:val="32"/>
        </w:rPr>
        <w:t>一、</w:t>
      </w:r>
      <w:r>
        <w:rPr>
          <w:rFonts w:hint="eastAsia" w:ascii="宋体" w:hAnsi="宋体" w:eastAsia="宋体" w:cs="宋体"/>
          <w:b/>
          <w:bCs/>
          <w:color w:val="000000" w:themeColor="text1"/>
          <w:sz w:val="32"/>
          <w:szCs w:val="32"/>
          <w14:textFill>
            <w14:solidFill>
              <w14:schemeClr w14:val="tx1"/>
            </w14:solidFill>
          </w14:textFill>
        </w:rPr>
        <w:t>微专业简介</w:t>
      </w:r>
    </w:p>
    <w:p w14:paraId="07FCD6DC">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全过程数智化工程管理微专业依托皖江工学院土木与安全工程学院学科优势，紧扣智能建造、新型建筑工业化及国家“双碳”发展战略，面向建筑行业数字化、绿色化转型需求，聚焦工程全生命周期数智化管控，培养行业紧缺的复合型工程管理人才。</w:t>
      </w:r>
    </w:p>
    <w:p w14:paraId="5DF10F89">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本专业立足工程管理全过程，构建“建筑信息-施工-成本-运维“全过程数智化工程管理特色培养体系，开设数智化工程管理导论、工程数字化建模、建筑大数据智能应用、智能施工与智慧工地、BIM全过程造价管理、数智化运维管理等前沿核心课程，覆盖BIM技术、智能管控、数字造价、低碳运维等核心能力模块。</w:t>
      </w:r>
    </w:p>
    <w:p w14:paraId="109ECF76">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专业配套标准化数智化实训机房，搭载建筑性能与全生命周期碳排放计算教学软件，实现建模仿真、性能分析、碳核算、方案优化一体化实训，形成理论与实操融合的培养模式。毕业生可从事智能建造管理、BIM技术应用、低碳咨询、智慧工地运维、数字化造价管控等岗位，适配建筑产业转型升级发展需求。</w:t>
      </w:r>
    </w:p>
    <w:p w14:paraId="164C4F14">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二、开设课程</w:t>
      </w:r>
    </w:p>
    <w:p w14:paraId="38086B36">
      <w:pPr>
        <w:spacing w:line="360" w:lineRule="auto"/>
        <w:ind w:firstLine="562" w:firstLineChars="200"/>
        <w:jc w:val="left"/>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（一）开设课程计划一览表</w:t>
      </w:r>
    </w:p>
    <w:p w14:paraId="1CFF6B33">
      <w:pPr>
        <w:spacing w:line="360" w:lineRule="auto"/>
        <w:ind w:firstLine="562" w:firstLineChars="200"/>
        <w:jc w:val="left"/>
        <w:rPr>
          <w:rFonts w:hint="eastAsia" w:ascii="宋体" w:hAnsi="宋体" w:eastAsia="宋体" w:cs="宋体"/>
          <w:b/>
          <w:bCs/>
          <w:color w:val="000000" w:themeColor="text1"/>
          <w:sz w:val="28"/>
          <w:szCs w:val="28"/>
          <w14:textFill>
            <w14:solidFill>
              <w14:schemeClr w14:val="tx1"/>
            </w14:solidFill>
          </w14:textFill>
        </w:rPr>
      </w:pPr>
    </w:p>
    <w:tbl>
      <w:tblPr>
        <w:tblStyle w:val="3"/>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9"/>
        <w:gridCol w:w="575"/>
        <w:gridCol w:w="910"/>
        <w:gridCol w:w="650"/>
        <w:gridCol w:w="825"/>
        <w:gridCol w:w="795"/>
        <w:gridCol w:w="1365"/>
        <w:gridCol w:w="1410"/>
      </w:tblGrid>
      <w:tr w14:paraId="73FA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029" w:type="dxa"/>
            <w:vMerge w:val="restart"/>
            <w:vAlign w:val="center"/>
          </w:tcPr>
          <w:p w14:paraId="2A5D4AAD">
            <w:pPr>
              <w:autoSpaceDN w:val="0"/>
              <w:spacing w:line="300" w:lineRule="auto"/>
              <w:jc w:val="center"/>
              <w:textAlignment w:val="center"/>
              <w:rPr>
                <w:rFonts w:hAnsi="宋体"/>
                <w:b/>
                <w:bCs/>
              </w:rPr>
            </w:pPr>
            <w:r>
              <w:rPr>
                <w:rFonts w:hAnsi="宋体"/>
                <w:b/>
                <w:bCs/>
              </w:rPr>
              <w:t>课程名称</w:t>
            </w:r>
          </w:p>
        </w:tc>
        <w:tc>
          <w:tcPr>
            <w:tcW w:w="575" w:type="dxa"/>
            <w:vMerge w:val="restart"/>
            <w:vAlign w:val="center"/>
          </w:tcPr>
          <w:p w14:paraId="150DF50F">
            <w:pPr>
              <w:autoSpaceDN w:val="0"/>
              <w:spacing w:line="300" w:lineRule="auto"/>
              <w:jc w:val="center"/>
              <w:textAlignment w:val="center"/>
              <w:rPr>
                <w:b/>
                <w:bCs/>
              </w:rPr>
            </w:pPr>
            <w:r>
              <w:rPr>
                <w:rFonts w:hAnsi="宋体"/>
                <w:b/>
                <w:bCs/>
              </w:rPr>
              <w:t>学分</w:t>
            </w:r>
          </w:p>
        </w:tc>
        <w:tc>
          <w:tcPr>
            <w:tcW w:w="910" w:type="dxa"/>
            <w:vMerge w:val="restart"/>
            <w:vAlign w:val="center"/>
          </w:tcPr>
          <w:p w14:paraId="62DFD4FC">
            <w:pPr>
              <w:autoSpaceDN w:val="0"/>
              <w:spacing w:line="300" w:lineRule="auto"/>
              <w:jc w:val="center"/>
              <w:textAlignment w:val="center"/>
              <w:rPr>
                <w:b/>
                <w:bCs/>
              </w:rPr>
            </w:pPr>
            <w:r>
              <w:rPr>
                <w:rFonts w:hAnsi="宋体"/>
                <w:b/>
                <w:bCs/>
              </w:rPr>
              <w:t>学时</w:t>
            </w:r>
          </w:p>
        </w:tc>
        <w:tc>
          <w:tcPr>
            <w:tcW w:w="1475" w:type="dxa"/>
            <w:gridSpan w:val="2"/>
            <w:vAlign w:val="center"/>
          </w:tcPr>
          <w:p w14:paraId="0BA8B561">
            <w:pPr>
              <w:autoSpaceDN w:val="0"/>
              <w:spacing w:line="300" w:lineRule="auto"/>
              <w:jc w:val="center"/>
              <w:textAlignment w:val="center"/>
              <w:rPr>
                <w:rFonts w:hAnsi="宋体"/>
                <w:b/>
                <w:bCs/>
              </w:rPr>
            </w:pPr>
            <w:r>
              <w:rPr>
                <w:rFonts w:hAnsi="宋体"/>
                <w:b/>
                <w:bCs/>
              </w:rPr>
              <w:t>学时分配</w:t>
            </w:r>
          </w:p>
        </w:tc>
        <w:tc>
          <w:tcPr>
            <w:tcW w:w="795" w:type="dxa"/>
            <w:vMerge w:val="restart"/>
            <w:vAlign w:val="center"/>
          </w:tcPr>
          <w:p w14:paraId="18A4574F">
            <w:pPr>
              <w:autoSpaceDN w:val="0"/>
              <w:spacing w:line="300" w:lineRule="auto"/>
              <w:jc w:val="center"/>
              <w:textAlignment w:val="center"/>
              <w:rPr>
                <w:b/>
                <w:bCs/>
              </w:rPr>
            </w:pPr>
            <w:r>
              <w:rPr>
                <w:rFonts w:hAnsi="宋体"/>
                <w:b/>
                <w:bCs/>
              </w:rPr>
              <w:t>课外</w:t>
            </w:r>
          </w:p>
          <w:p w14:paraId="498ED63B">
            <w:pPr>
              <w:autoSpaceDN w:val="0"/>
              <w:spacing w:line="300" w:lineRule="auto"/>
              <w:jc w:val="center"/>
              <w:textAlignment w:val="center"/>
              <w:rPr>
                <w:b/>
                <w:bCs/>
              </w:rPr>
            </w:pPr>
            <w:r>
              <w:rPr>
                <w:rFonts w:hAnsi="宋体"/>
                <w:b/>
                <w:bCs/>
              </w:rPr>
              <w:t>实践</w:t>
            </w:r>
          </w:p>
        </w:tc>
        <w:tc>
          <w:tcPr>
            <w:tcW w:w="1365" w:type="dxa"/>
            <w:vMerge w:val="restart"/>
            <w:vAlign w:val="center"/>
          </w:tcPr>
          <w:p w14:paraId="43F93867">
            <w:pPr>
              <w:autoSpaceDN w:val="0"/>
              <w:spacing w:line="300" w:lineRule="auto"/>
              <w:jc w:val="center"/>
              <w:textAlignment w:val="center"/>
              <w:rPr>
                <w:b/>
                <w:bCs/>
              </w:rPr>
            </w:pPr>
            <w:r>
              <w:rPr>
                <w:rFonts w:hint="eastAsia" w:hAnsi="宋体"/>
                <w:b/>
                <w:bCs/>
              </w:rPr>
              <w:t>开课</w:t>
            </w:r>
            <w:r>
              <w:rPr>
                <w:rFonts w:hAnsi="宋体"/>
                <w:b/>
                <w:bCs/>
              </w:rPr>
              <w:t>学期</w:t>
            </w:r>
          </w:p>
        </w:tc>
        <w:tc>
          <w:tcPr>
            <w:tcW w:w="1410" w:type="dxa"/>
            <w:vMerge w:val="restart"/>
            <w:vAlign w:val="center"/>
          </w:tcPr>
          <w:p w14:paraId="39F4185D">
            <w:pPr>
              <w:autoSpaceDN w:val="0"/>
              <w:spacing w:line="300" w:lineRule="auto"/>
              <w:jc w:val="center"/>
              <w:textAlignment w:val="center"/>
              <w:rPr>
                <w:b/>
                <w:bCs/>
              </w:rPr>
            </w:pPr>
            <w:r>
              <w:rPr>
                <w:rFonts w:hAnsi="宋体"/>
                <w:b/>
                <w:bCs/>
              </w:rPr>
              <w:t>考核</w:t>
            </w:r>
          </w:p>
          <w:p w14:paraId="3F11088A">
            <w:pPr>
              <w:autoSpaceDN w:val="0"/>
              <w:spacing w:line="300" w:lineRule="auto"/>
              <w:jc w:val="center"/>
              <w:textAlignment w:val="center"/>
              <w:rPr>
                <w:b/>
                <w:bCs/>
              </w:rPr>
            </w:pPr>
            <w:r>
              <w:rPr>
                <w:rFonts w:hAnsi="宋体"/>
                <w:b/>
                <w:bCs/>
              </w:rPr>
              <w:t>方式</w:t>
            </w:r>
          </w:p>
        </w:tc>
      </w:tr>
      <w:tr w14:paraId="74C2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Merge w:val="continue"/>
            <w:vAlign w:val="center"/>
          </w:tcPr>
          <w:p w14:paraId="0A0296A0">
            <w:pPr>
              <w:autoSpaceDN w:val="0"/>
              <w:spacing w:line="300" w:lineRule="auto"/>
              <w:jc w:val="center"/>
              <w:textAlignment w:val="center"/>
              <w:rPr>
                <w:rFonts w:hAnsi="宋体"/>
                <w:b/>
                <w:bCs/>
              </w:rPr>
            </w:pPr>
          </w:p>
        </w:tc>
        <w:tc>
          <w:tcPr>
            <w:tcW w:w="575" w:type="dxa"/>
            <w:vMerge w:val="continue"/>
            <w:vAlign w:val="center"/>
          </w:tcPr>
          <w:p w14:paraId="25348B81">
            <w:pPr>
              <w:autoSpaceDN w:val="0"/>
              <w:spacing w:line="300" w:lineRule="auto"/>
              <w:jc w:val="center"/>
              <w:textAlignment w:val="center"/>
              <w:rPr>
                <w:rFonts w:hAnsi="宋体"/>
                <w:b/>
                <w:bCs/>
              </w:rPr>
            </w:pPr>
          </w:p>
        </w:tc>
        <w:tc>
          <w:tcPr>
            <w:tcW w:w="910" w:type="dxa"/>
            <w:vMerge w:val="continue"/>
            <w:vAlign w:val="center"/>
          </w:tcPr>
          <w:p w14:paraId="20293D25">
            <w:pPr>
              <w:autoSpaceDN w:val="0"/>
              <w:spacing w:line="300" w:lineRule="auto"/>
              <w:jc w:val="center"/>
              <w:textAlignment w:val="center"/>
              <w:rPr>
                <w:rFonts w:hAnsi="宋体"/>
                <w:b/>
                <w:bCs/>
              </w:rPr>
            </w:pPr>
          </w:p>
        </w:tc>
        <w:tc>
          <w:tcPr>
            <w:tcW w:w="650" w:type="dxa"/>
            <w:vAlign w:val="center"/>
          </w:tcPr>
          <w:p w14:paraId="3AF06BA4">
            <w:pPr>
              <w:autoSpaceDN w:val="0"/>
              <w:spacing w:line="300" w:lineRule="auto"/>
              <w:jc w:val="center"/>
              <w:textAlignment w:val="center"/>
              <w:rPr>
                <w:b/>
                <w:bCs/>
              </w:rPr>
            </w:pPr>
            <w:r>
              <w:rPr>
                <w:rFonts w:hAnsi="宋体"/>
                <w:b/>
                <w:bCs/>
              </w:rPr>
              <w:t>讲授</w:t>
            </w:r>
          </w:p>
        </w:tc>
        <w:tc>
          <w:tcPr>
            <w:tcW w:w="825" w:type="dxa"/>
            <w:vAlign w:val="center"/>
          </w:tcPr>
          <w:p w14:paraId="15AF79E5">
            <w:pPr>
              <w:autoSpaceDN w:val="0"/>
              <w:spacing w:line="300" w:lineRule="auto"/>
              <w:jc w:val="center"/>
              <w:textAlignment w:val="center"/>
              <w:rPr>
                <w:b/>
                <w:bCs/>
              </w:rPr>
            </w:pPr>
            <w:r>
              <w:rPr>
                <w:rFonts w:hAnsi="宋体"/>
                <w:b/>
                <w:bCs/>
              </w:rPr>
              <w:t>实践</w:t>
            </w:r>
          </w:p>
        </w:tc>
        <w:tc>
          <w:tcPr>
            <w:tcW w:w="795" w:type="dxa"/>
            <w:vMerge w:val="continue"/>
            <w:vAlign w:val="center"/>
          </w:tcPr>
          <w:p w14:paraId="6052E5DD">
            <w:pPr>
              <w:autoSpaceDN w:val="0"/>
              <w:spacing w:line="300" w:lineRule="auto"/>
              <w:jc w:val="center"/>
              <w:textAlignment w:val="center"/>
              <w:rPr>
                <w:rFonts w:hAnsi="宋体"/>
                <w:b/>
                <w:bCs/>
              </w:rPr>
            </w:pPr>
          </w:p>
        </w:tc>
        <w:tc>
          <w:tcPr>
            <w:tcW w:w="1365" w:type="dxa"/>
            <w:vMerge w:val="continue"/>
            <w:vAlign w:val="center"/>
          </w:tcPr>
          <w:p w14:paraId="503B9467">
            <w:pPr>
              <w:autoSpaceDN w:val="0"/>
              <w:spacing w:line="300" w:lineRule="auto"/>
              <w:jc w:val="center"/>
              <w:textAlignment w:val="center"/>
              <w:rPr>
                <w:b/>
                <w:bCs/>
              </w:rPr>
            </w:pPr>
          </w:p>
        </w:tc>
        <w:tc>
          <w:tcPr>
            <w:tcW w:w="1410" w:type="dxa"/>
            <w:vMerge w:val="continue"/>
            <w:vAlign w:val="center"/>
          </w:tcPr>
          <w:p w14:paraId="4C349443">
            <w:pPr>
              <w:autoSpaceDN w:val="0"/>
              <w:spacing w:line="300" w:lineRule="auto"/>
              <w:jc w:val="center"/>
              <w:textAlignment w:val="center"/>
              <w:rPr>
                <w:b/>
                <w:bCs/>
              </w:rPr>
            </w:pPr>
          </w:p>
        </w:tc>
      </w:tr>
      <w:tr w14:paraId="1114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2CB0282A">
            <w:pPr>
              <w:snapToGrid w:val="0"/>
              <w:jc w:val="left"/>
              <w:rPr>
                <w:sz w:val="20"/>
                <w:szCs w:val="20"/>
              </w:rPr>
            </w:pPr>
            <w:r>
              <w:rPr>
                <w:rFonts w:ascii="宋体" w:hAnsi="宋体" w:eastAsia="宋体" w:cs="宋体"/>
                <w:sz w:val="24"/>
                <w:szCs w:val="24"/>
              </w:rPr>
              <w:t>数智化工程管理导论</w:t>
            </w:r>
          </w:p>
        </w:tc>
        <w:tc>
          <w:tcPr>
            <w:tcW w:w="575" w:type="dxa"/>
            <w:shd w:val="clear" w:color="auto" w:fill="auto"/>
            <w:vAlign w:val="center"/>
          </w:tcPr>
          <w:p w14:paraId="076687A0">
            <w:pPr>
              <w:snapToGrid w:val="0"/>
              <w:jc w:val="center"/>
              <w:rPr>
                <w:sz w:val="20"/>
                <w:szCs w:val="20"/>
              </w:rPr>
            </w:pPr>
            <w:r>
              <w:rPr>
                <w:rFonts w:hint="eastAsia"/>
                <w:sz w:val="20"/>
                <w:szCs w:val="20"/>
              </w:rPr>
              <w:t>1</w:t>
            </w:r>
          </w:p>
        </w:tc>
        <w:tc>
          <w:tcPr>
            <w:tcW w:w="910" w:type="dxa"/>
            <w:shd w:val="clear" w:color="auto" w:fill="auto"/>
            <w:vAlign w:val="center"/>
          </w:tcPr>
          <w:p w14:paraId="7E395183">
            <w:pPr>
              <w:snapToGrid w:val="0"/>
              <w:jc w:val="center"/>
              <w:rPr>
                <w:sz w:val="20"/>
                <w:szCs w:val="20"/>
              </w:rPr>
            </w:pPr>
            <w:r>
              <w:rPr>
                <w:rFonts w:hint="eastAsia"/>
                <w:sz w:val="20"/>
                <w:szCs w:val="20"/>
              </w:rPr>
              <w:t>16</w:t>
            </w:r>
          </w:p>
        </w:tc>
        <w:tc>
          <w:tcPr>
            <w:tcW w:w="650" w:type="dxa"/>
            <w:vAlign w:val="center"/>
          </w:tcPr>
          <w:p w14:paraId="042ED087">
            <w:pPr>
              <w:autoSpaceDN w:val="0"/>
              <w:spacing w:line="300" w:lineRule="auto"/>
              <w:jc w:val="center"/>
              <w:textAlignment w:val="center"/>
              <w:rPr>
                <w:rFonts w:hAnsi="宋体" w:eastAsia="宋体"/>
              </w:rPr>
            </w:pPr>
            <w:r>
              <w:rPr>
                <w:rFonts w:hint="eastAsia" w:hAnsi="宋体" w:eastAsia="宋体"/>
              </w:rPr>
              <w:t>16</w:t>
            </w:r>
          </w:p>
        </w:tc>
        <w:tc>
          <w:tcPr>
            <w:tcW w:w="825" w:type="dxa"/>
            <w:vAlign w:val="center"/>
          </w:tcPr>
          <w:p w14:paraId="5A9FCC26">
            <w:pPr>
              <w:autoSpaceDN w:val="0"/>
              <w:spacing w:line="300" w:lineRule="auto"/>
              <w:jc w:val="center"/>
              <w:textAlignment w:val="center"/>
              <w:rPr>
                <w:rFonts w:hAnsi="宋体" w:eastAsia="宋体"/>
              </w:rPr>
            </w:pPr>
          </w:p>
        </w:tc>
        <w:tc>
          <w:tcPr>
            <w:tcW w:w="795" w:type="dxa"/>
            <w:vAlign w:val="center"/>
          </w:tcPr>
          <w:p w14:paraId="181BBF47">
            <w:pPr>
              <w:autoSpaceDN w:val="0"/>
              <w:spacing w:line="300" w:lineRule="auto"/>
              <w:jc w:val="center"/>
              <w:textAlignment w:val="center"/>
              <w:rPr>
                <w:rFonts w:hAnsi="宋体"/>
              </w:rPr>
            </w:pPr>
          </w:p>
        </w:tc>
        <w:tc>
          <w:tcPr>
            <w:tcW w:w="1365" w:type="dxa"/>
            <w:vAlign w:val="center"/>
          </w:tcPr>
          <w:p w14:paraId="1FA5A511">
            <w:pPr>
              <w:autoSpaceDN w:val="0"/>
              <w:spacing w:line="300" w:lineRule="auto"/>
              <w:jc w:val="center"/>
              <w:textAlignment w:val="center"/>
              <w:rPr>
                <w:rFonts w:hint="default" w:eastAsiaTheme="minorEastAsia"/>
                <w:lang w:val="en-US" w:eastAsia="zh-CN"/>
              </w:rPr>
            </w:pPr>
            <w:r>
              <w:rPr>
                <w:rFonts w:hint="eastAsia"/>
                <w:lang w:val="en-US" w:eastAsia="zh-CN"/>
              </w:rPr>
              <w:t>2026-2027-1</w:t>
            </w:r>
          </w:p>
        </w:tc>
        <w:tc>
          <w:tcPr>
            <w:tcW w:w="1410" w:type="dxa"/>
            <w:vAlign w:val="center"/>
          </w:tcPr>
          <w:p w14:paraId="1ACF2EE8">
            <w:pPr>
              <w:autoSpaceDN w:val="0"/>
              <w:spacing w:line="300" w:lineRule="auto"/>
              <w:jc w:val="center"/>
              <w:textAlignment w:val="center"/>
            </w:pPr>
            <w:r>
              <w:rPr>
                <w:rFonts w:hint="eastAsia"/>
              </w:rPr>
              <w:t>考查</w:t>
            </w:r>
          </w:p>
        </w:tc>
      </w:tr>
      <w:tr w14:paraId="2155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4EEFD8B1">
            <w:pPr>
              <w:snapToGrid w:val="0"/>
              <w:jc w:val="left"/>
              <w:rPr>
                <w:rFonts w:eastAsia="宋体"/>
                <w:sz w:val="20"/>
                <w:szCs w:val="20"/>
              </w:rPr>
            </w:pPr>
            <w:r>
              <w:rPr>
                <w:rFonts w:ascii="宋体" w:hAnsi="宋体" w:eastAsia="宋体" w:cs="宋体"/>
                <w:sz w:val="24"/>
                <w:szCs w:val="24"/>
              </w:rPr>
              <w:t>建筑大数据与智能视觉应用</w:t>
            </w:r>
          </w:p>
        </w:tc>
        <w:tc>
          <w:tcPr>
            <w:tcW w:w="575" w:type="dxa"/>
            <w:shd w:val="clear" w:color="auto" w:fill="auto"/>
            <w:vAlign w:val="center"/>
          </w:tcPr>
          <w:p w14:paraId="395ABC9A">
            <w:pPr>
              <w:snapToGrid w:val="0"/>
              <w:jc w:val="center"/>
              <w:rPr>
                <w:rFonts w:hint="eastAsia" w:eastAsia="方正仿宋_GBK"/>
                <w:sz w:val="20"/>
                <w:szCs w:val="20"/>
                <w:lang w:eastAsia="zh-CN"/>
              </w:rPr>
            </w:pPr>
            <w:r>
              <w:rPr>
                <w:rFonts w:hint="eastAsia" w:eastAsia="方正仿宋_GBK"/>
                <w:sz w:val="20"/>
                <w:szCs w:val="20"/>
                <w:lang w:val="en-US" w:eastAsia="zh-CN"/>
              </w:rPr>
              <w:t>3</w:t>
            </w:r>
          </w:p>
        </w:tc>
        <w:tc>
          <w:tcPr>
            <w:tcW w:w="910" w:type="dxa"/>
            <w:shd w:val="clear" w:color="auto" w:fill="auto"/>
            <w:vAlign w:val="center"/>
          </w:tcPr>
          <w:p w14:paraId="492F0D4A">
            <w:pPr>
              <w:snapToGrid w:val="0"/>
              <w:jc w:val="center"/>
              <w:rPr>
                <w:rFonts w:hint="default" w:eastAsia="方正仿宋_GBK"/>
                <w:sz w:val="20"/>
                <w:szCs w:val="20"/>
                <w:lang w:val="en-US" w:eastAsia="zh-CN"/>
              </w:rPr>
            </w:pPr>
            <w:r>
              <w:rPr>
                <w:rFonts w:hint="eastAsia" w:eastAsia="方正仿宋_GBK"/>
                <w:sz w:val="20"/>
                <w:szCs w:val="20"/>
                <w:lang w:val="en-US" w:eastAsia="zh-CN"/>
              </w:rPr>
              <w:t>48</w:t>
            </w:r>
          </w:p>
        </w:tc>
        <w:tc>
          <w:tcPr>
            <w:tcW w:w="650" w:type="dxa"/>
            <w:vAlign w:val="center"/>
          </w:tcPr>
          <w:p w14:paraId="449E2094">
            <w:pPr>
              <w:autoSpaceDN w:val="0"/>
              <w:spacing w:line="300" w:lineRule="auto"/>
              <w:jc w:val="center"/>
              <w:textAlignment w:val="center"/>
              <w:rPr>
                <w:rFonts w:hAnsi="宋体" w:eastAsia="宋体"/>
              </w:rPr>
            </w:pPr>
          </w:p>
        </w:tc>
        <w:tc>
          <w:tcPr>
            <w:tcW w:w="825" w:type="dxa"/>
            <w:vAlign w:val="center"/>
          </w:tcPr>
          <w:p w14:paraId="0727BA9B">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48</w:t>
            </w:r>
          </w:p>
        </w:tc>
        <w:tc>
          <w:tcPr>
            <w:tcW w:w="795" w:type="dxa"/>
            <w:vAlign w:val="center"/>
          </w:tcPr>
          <w:p w14:paraId="69DAE349">
            <w:pPr>
              <w:autoSpaceDN w:val="0"/>
              <w:spacing w:line="300" w:lineRule="auto"/>
              <w:jc w:val="center"/>
              <w:textAlignment w:val="center"/>
              <w:rPr>
                <w:rFonts w:hAnsi="宋体"/>
              </w:rPr>
            </w:pPr>
          </w:p>
        </w:tc>
        <w:tc>
          <w:tcPr>
            <w:tcW w:w="1365" w:type="dxa"/>
            <w:vAlign w:val="center"/>
          </w:tcPr>
          <w:p w14:paraId="181BA81E">
            <w:pPr>
              <w:autoSpaceDN w:val="0"/>
              <w:spacing w:line="300" w:lineRule="auto"/>
              <w:jc w:val="center"/>
              <w:textAlignment w:val="center"/>
            </w:pPr>
            <w:r>
              <w:rPr>
                <w:rFonts w:hint="eastAsia"/>
                <w:lang w:val="en-US" w:eastAsia="zh-CN"/>
              </w:rPr>
              <w:t>2026-2027-1</w:t>
            </w:r>
          </w:p>
        </w:tc>
        <w:tc>
          <w:tcPr>
            <w:tcW w:w="1410" w:type="dxa"/>
            <w:vAlign w:val="center"/>
          </w:tcPr>
          <w:p w14:paraId="42238C34">
            <w:pPr>
              <w:autoSpaceDN w:val="0"/>
              <w:spacing w:line="300" w:lineRule="auto"/>
              <w:jc w:val="center"/>
              <w:textAlignment w:val="center"/>
            </w:pPr>
            <w:r>
              <w:rPr>
                <w:rFonts w:hint="eastAsia"/>
              </w:rPr>
              <w:t>考查</w:t>
            </w:r>
          </w:p>
        </w:tc>
      </w:tr>
      <w:tr w14:paraId="5889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379A6BCB">
            <w:pPr>
              <w:snapToGrid w:val="0"/>
              <w:jc w:val="left"/>
              <w:rPr>
                <w:rFonts w:ascii="宋体" w:hAnsi="宋体" w:eastAsia="宋体" w:cs="Times New Roman"/>
                <w:sz w:val="24"/>
              </w:rPr>
            </w:pPr>
            <w:r>
              <w:rPr>
                <w:rFonts w:hint="eastAsia" w:ascii="宋体" w:hAnsi="宋体" w:eastAsia="宋体" w:cs="宋体"/>
                <w:sz w:val="24"/>
                <w:szCs w:val="24"/>
                <w:lang w:val="en-US" w:eastAsia="zh-CN"/>
              </w:rPr>
              <w:t>工程数字化建模与信息管理</w:t>
            </w:r>
          </w:p>
        </w:tc>
        <w:tc>
          <w:tcPr>
            <w:tcW w:w="575" w:type="dxa"/>
            <w:shd w:val="clear" w:color="auto" w:fill="auto"/>
            <w:vAlign w:val="center"/>
          </w:tcPr>
          <w:p w14:paraId="3321CC81">
            <w:pPr>
              <w:snapToGrid w:val="0"/>
              <w:jc w:val="center"/>
              <w:rPr>
                <w:rFonts w:ascii="Times New Roman" w:hAnsi="Times New Roman" w:eastAsia="方正仿宋_GBK" w:cs="Times New Roman"/>
                <w:sz w:val="20"/>
                <w:szCs w:val="20"/>
              </w:rPr>
            </w:pPr>
            <w:r>
              <w:rPr>
                <w:rFonts w:hint="eastAsia" w:cs="Times New Roman"/>
                <w:sz w:val="20"/>
                <w:szCs w:val="20"/>
              </w:rPr>
              <w:t>3</w:t>
            </w:r>
          </w:p>
        </w:tc>
        <w:tc>
          <w:tcPr>
            <w:tcW w:w="910" w:type="dxa"/>
            <w:shd w:val="clear" w:color="auto" w:fill="auto"/>
            <w:vAlign w:val="center"/>
          </w:tcPr>
          <w:p w14:paraId="4EFB6B25">
            <w:pPr>
              <w:snapToGrid w:val="0"/>
              <w:jc w:val="center"/>
              <w:rPr>
                <w:rFonts w:ascii="Times New Roman" w:hAnsi="Times New Roman" w:eastAsia="方正仿宋_GBK" w:cs="Times New Roman"/>
                <w:sz w:val="20"/>
                <w:szCs w:val="20"/>
              </w:rPr>
            </w:pPr>
            <w:r>
              <w:rPr>
                <w:rFonts w:hint="eastAsia"/>
                <w:sz w:val="20"/>
                <w:szCs w:val="20"/>
              </w:rPr>
              <w:t>48</w:t>
            </w:r>
          </w:p>
        </w:tc>
        <w:tc>
          <w:tcPr>
            <w:tcW w:w="650" w:type="dxa"/>
            <w:vAlign w:val="center"/>
          </w:tcPr>
          <w:p w14:paraId="0404343C">
            <w:pPr>
              <w:autoSpaceDN w:val="0"/>
              <w:spacing w:line="300" w:lineRule="auto"/>
              <w:jc w:val="center"/>
              <w:textAlignment w:val="center"/>
              <w:rPr>
                <w:rFonts w:hAnsi="宋体" w:eastAsia="宋体"/>
              </w:rPr>
            </w:pPr>
          </w:p>
        </w:tc>
        <w:tc>
          <w:tcPr>
            <w:tcW w:w="825" w:type="dxa"/>
            <w:vAlign w:val="center"/>
          </w:tcPr>
          <w:p w14:paraId="0991B45F">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48</w:t>
            </w:r>
          </w:p>
        </w:tc>
        <w:tc>
          <w:tcPr>
            <w:tcW w:w="795" w:type="dxa"/>
            <w:vAlign w:val="center"/>
          </w:tcPr>
          <w:p w14:paraId="0C90873A">
            <w:pPr>
              <w:autoSpaceDN w:val="0"/>
              <w:spacing w:line="300" w:lineRule="auto"/>
              <w:jc w:val="center"/>
              <w:textAlignment w:val="center"/>
              <w:rPr>
                <w:rFonts w:hAnsi="宋体"/>
              </w:rPr>
            </w:pPr>
          </w:p>
        </w:tc>
        <w:tc>
          <w:tcPr>
            <w:tcW w:w="1365" w:type="dxa"/>
            <w:vAlign w:val="center"/>
          </w:tcPr>
          <w:p w14:paraId="381AF28E">
            <w:pPr>
              <w:autoSpaceDN w:val="0"/>
              <w:spacing w:line="300" w:lineRule="auto"/>
              <w:jc w:val="center"/>
              <w:textAlignment w:val="center"/>
            </w:pPr>
            <w:r>
              <w:rPr>
                <w:rFonts w:hint="eastAsia"/>
                <w:lang w:val="en-US" w:eastAsia="zh-CN"/>
              </w:rPr>
              <w:t>2026-2027-1</w:t>
            </w:r>
          </w:p>
        </w:tc>
        <w:tc>
          <w:tcPr>
            <w:tcW w:w="1410" w:type="dxa"/>
            <w:vAlign w:val="center"/>
          </w:tcPr>
          <w:p w14:paraId="044AF75D">
            <w:pPr>
              <w:autoSpaceDN w:val="0"/>
              <w:spacing w:line="300" w:lineRule="auto"/>
              <w:jc w:val="center"/>
              <w:textAlignment w:val="center"/>
            </w:pPr>
            <w:r>
              <w:rPr>
                <w:rFonts w:hint="eastAsia"/>
              </w:rPr>
              <w:t>考查</w:t>
            </w:r>
          </w:p>
        </w:tc>
      </w:tr>
      <w:tr w14:paraId="288C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0B9DD545">
            <w:pPr>
              <w:snapToGrid w:val="0"/>
              <w:jc w:val="left"/>
              <w:rPr>
                <w:rFonts w:hint="default" w:ascii="Times New Roman" w:hAnsi="Times New Roman" w:eastAsia="方正仿宋_GBK" w:cs="Times New Roman"/>
                <w:sz w:val="20"/>
                <w:szCs w:val="20"/>
                <w:lang w:val="en-US" w:eastAsia="zh-CN"/>
              </w:rPr>
            </w:pPr>
            <w:r>
              <w:rPr>
                <w:rFonts w:hint="eastAsia" w:ascii="宋体" w:hAnsi="宋体" w:eastAsia="宋体" w:cs="宋体"/>
                <w:sz w:val="24"/>
                <w:szCs w:val="24"/>
                <w:lang w:val="en-US" w:eastAsia="zh-CN"/>
              </w:rPr>
              <w:t>工程智慧施工</w:t>
            </w:r>
          </w:p>
        </w:tc>
        <w:tc>
          <w:tcPr>
            <w:tcW w:w="575" w:type="dxa"/>
            <w:shd w:val="clear" w:color="auto" w:fill="auto"/>
            <w:vAlign w:val="center"/>
          </w:tcPr>
          <w:p w14:paraId="154BD25C">
            <w:pPr>
              <w:snapToGrid w:val="0"/>
              <w:jc w:val="center"/>
              <w:rPr>
                <w:rFonts w:ascii="Times New Roman" w:hAnsi="Times New Roman" w:eastAsia="方正仿宋_GBK" w:cs="Times New Roman"/>
                <w:sz w:val="20"/>
                <w:szCs w:val="20"/>
              </w:rPr>
            </w:pPr>
            <w:r>
              <w:rPr>
                <w:rFonts w:hint="eastAsia"/>
                <w:sz w:val="20"/>
                <w:szCs w:val="20"/>
              </w:rPr>
              <w:t>2</w:t>
            </w:r>
          </w:p>
        </w:tc>
        <w:tc>
          <w:tcPr>
            <w:tcW w:w="910" w:type="dxa"/>
            <w:shd w:val="clear" w:color="auto" w:fill="auto"/>
            <w:vAlign w:val="center"/>
          </w:tcPr>
          <w:p w14:paraId="1FD58876">
            <w:pPr>
              <w:snapToGrid w:val="0"/>
              <w:jc w:val="center"/>
              <w:rPr>
                <w:rFonts w:ascii="Times New Roman" w:hAnsi="Times New Roman" w:eastAsia="方正仿宋_GBK" w:cs="Times New Roman"/>
                <w:sz w:val="20"/>
                <w:szCs w:val="20"/>
              </w:rPr>
            </w:pPr>
            <w:r>
              <w:rPr>
                <w:rFonts w:hint="eastAsia"/>
                <w:sz w:val="20"/>
                <w:szCs w:val="20"/>
              </w:rPr>
              <w:t>3</w:t>
            </w:r>
            <w:r>
              <w:rPr>
                <w:sz w:val="20"/>
                <w:szCs w:val="20"/>
              </w:rPr>
              <w:t>2</w:t>
            </w:r>
          </w:p>
        </w:tc>
        <w:tc>
          <w:tcPr>
            <w:tcW w:w="650" w:type="dxa"/>
            <w:vAlign w:val="center"/>
          </w:tcPr>
          <w:p w14:paraId="7AB03135">
            <w:pPr>
              <w:autoSpaceDN w:val="0"/>
              <w:spacing w:line="300" w:lineRule="auto"/>
              <w:jc w:val="center"/>
              <w:textAlignment w:val="center"/>
              <w:rPr>
                <w:rFonts w:hAnsi="宋体" w:eastAsia="宋体"/>
              </w:rPr>
            </w:pPr>
          </w:p>
        </w:tc>
        <w:tc>
          <w:tcPr>
            <w:tcW w:w="825" w:type="dxa"/>
            <w:vAlign w:val="center"/>
          </w:tcPr>
          <w:p w14:paraId="63C16B8B">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32</w:t>
            </w:r>
          </w:p>
        </w:tc>
        <w:tc>
          <w:tcPr>
            <w:tcW w:w="795" w:type="dxa"/>
            <w:vAlign w:val="center"/>
          </w:tcPr>
          <w:p w14:paraId="2C5207D6">
            <w:pPr>
              <w:autoSpaceDN w:val="0"/>
              <w:spacing w:line="300" w:lineRule="auto"/>
              <w:jc w:val="center"/>
              <w:textAlignment w:val="center"/>
              <w:rPr>
                <w:rFonts w:hAnsi="宋体"/>
              </w:rPr>
            </w:pPr>
          </w:p>
        </w:tc>
        <w:tc>
          <w:tcPr>
            <w:tcW w:w="1365" w:type="dxa"/>
            <w:vAlign w:val="center"/>
          </w:tcPr>
          <w:p w14:paraId="5399E0F8">
            <w:pPr>
              <w:autoSpaceDN w:val="0"/>
              <w:spacing w:line="300" w:lineRule="auto"/>
              <w:jc w:val="center"/>
              <w:textAlignment w:val="center"/>
              <w:rPr>
                <w:rFonts w:hint="default"/>
                <w:lang w:val="en-US"/>
              </w:rPr>
            </w:pPr>
            <w:r>
              <w:rPr>
                <w:rFonts w:hint="eastAsia"/>
                <w:lang w:val="en-US" w:eastAsia="zh-CN"/>
              </w:rPr>
              <w:t>2026-2027-2</w:t>
            </w:r>
          </w:p>
        </w:tc>
        <w:tc>
          <w:tcPr>
            <w:tcW w:w="1410" w:type="dxa"/>
            <w:vAlign w:val="center"/>
          </w:tcPr>
          <w:p w14:paraId="1E676F5A">
            <w:pPr>
              <w:autoSpaceDN w:val="0"/>
              <w:spacing w:line="300" w:lineRule="auto"/>
              <w:jc w:val="center"/>
              <w:textAlignment w:val="center"/>
            </w:pPr>
            <w:r>
              <w:rPr>
                <w:rFonts w:hint="eastAsia"/>
              </w:rPr>
              <w:t>考查</w:t>
            </w:r>
          </w:p>
        </w:tc>
      </w:tr>
      <w:tr w14:paraId="48A2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30B2D3A3">
            <w:pPr>
              <w:snapToGrid w:val="0"/>
              <w:jc w:val="left"/>
              <w:rPr>
                <w:rFonts w:ascii="Times New Roman" w:hAnsi="Times New Roman" w:eastAsia="方正仿宋_GBK" w:cs="Times New Roman"/>
                <w:sz w:val="20"/>
                <w:szCs w:val="20"/>
              </w:rPr>
            </w:pPr>
            <w:r>
              <w:rPr>
                <w:rFonts w:hint="eastAsia" w:ascii="宋体" w:hAnsi="宋体" w:eastAsia="宋体" w:cs="宋体"/>
                <w:sz w:val="24"/>
                <w:szCs w:val="24"/>
                <w:lang w:val="en-US" w:eastAsia="zh-CN"/>
              </w:rPr>
              <w:t>基于BIM的全过程造价管理与决策</w:t>
            </w:r>
          </w:p>
        </w:tc>
        <w:tc>
          <w:tcPr>
            <w:tcW w:w="575" w:type="dxa"/>
            <w:shd w:val="clear" w:color="auto" w:fill="auto"/>
            <w:vAlign w:val="center"/>
          </w:tcPr>
          <w:p w14:paraId="4380C789">
            <w:pPr>
              <w:snapToGrid w:val="0"/>
              <w:jc w:val="center"/>
              <w:rPr>
                <w:rFonts w:ascii="Times New Roman" w:hAnsi="Times New Roman" w:eastAsia="方正仿宋_GBK" w:cs="Times New Roman"/>
                <w:sz w:val="20"/>
                <w:szCs w:val="20"/>
              </w:rPr>
            </w:pPr>
            <w:r>
              <w:rPr>
                <w:rFonts w:hint="eastAsia" w:cs="Times New Roman"/>
                <w:sz w:val="20"/>
                <w:szCs w:val="20"/>
              </w:rPr>
              <w:t>2</w:t>
            </w:r>
          </w:p>
        </w:tc>
        <w:tc>
          <w:tcPr>
            <w:tcW w:w="910" w:type="dxa"/>
            <w:shd w:val="clear" w:color="auto" w:fill="auto"/>
            <w:vAlign w:val="center"/>
          </w:tcPr>
          <w:p w14:paraId="18D5C3E1">
            <w:pPr>
              <w:snapToGrid w:val="0"/>
              <w:jc w:val="center"/>
              <w:rPr>
                <w:rFonts w:ascii="Times New Roman" w:hAnsi="Times New Roman" w:eastAsia="方正仿宋_GBK" w:cs="Times New Roman"/>
                <w:sz w:val="20"/>
                <w:szCs w:val="20"/>
              </w:rPr>
            </w:pPr>
            <w:r>
              <w:rPr>
                <w:rFonts w:hint="eastAsia"/>
                <w:sz w:val="20"/>
                <w:szCs w:val="20"/>
              </w:rPr>
              <w:t>3</w:t>
            </w:r>
            <w:r>
              <w:rPr>
                <w:rFonts w:hint="eastAsia"/>
                <w:sz w:val="20"/>
                <w:szCs w:val="20"/>
                <w:lang w:eastAsia="zh-CN"/>
              </w:rPr>
              <w:t>2</w:t>
            </w:r>
          </w:p>
        </w:tc>
        <w:tc>
          <w:tcPr>
            <w:tcW w:w="650" w:type="dxa"/>
            <w:vAlign w:val="center"/>
          </w:tcPr>
          <w:p w14:paraId="6813C7A0">
            <w:pPr>
              <w:autoSpaceDN w:val="0"/>
              <w:spacing w:line="300" w:lineRule="auto"/>
              <w:jc w:val="center"/>
              <w:textAlignment w:val="center"/>
              <w:rPr>
                <w:rFonts w:hAnsi="宋体" w:eastAsia="宋体"/>
              </w:rPr>
            </w:pPr>
          </w:p>
        </w:tc>
        <w:tc>
          <w:tcPr>
            <w:tcW w:w="825" w:type="dxa"/>
            <w:vAlign w:val="center"/>
          </w:tcPr>
          <w:p w14:paraId="7A2FF37F">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32</w:t>
            </w:r>
          </w:p>
        </w:tc>
        <w:tc>
          <w:tcPr>
            <w:tcW w:w="795" w:type="dxa"/>
            <w:vAlign w:val="center"/>
          </w:tcPr>
          <w:p w14:paraId="5BB87D76">
            <w:pPr>
              <w:autoSpaceDN w:val="0"/>
              <w:spacing w:line="300" w:lineRule="auto"/>
              <w:jc w:val="center"/>
              <w:textAlignment w:val="center"/>
              <w:rPr>
                <w:rFonts w:hAnsi="宋体"/>
              </w:rPr>
            </w:pPr>
          </w:p>
        </w:tc>
        <w:tc>
          <w:tcPr>
            <w:tcW w:w="1365" w:type="dxa"/>
            <w:vAlign w:val="center"/>
          </w:tcPr>
          <w:p w14:paraId="42A9F3AC">
            <w:pPr>
              <w:autoSpaceDN w:val="0"/>
              <w:spacing w:line="300" w:lineRule="auto"/>
              <w:jc w:val="center"/>
              <w:textAlignment w:val="center"/>
              <w:rPr>
                <w:rFonts w:hint="default" w:eastAsiaTheme="minorEastAsia"/>
                <w:lang w:val="en-US" w:eastAsia="zh-CN"/>
              </w:rPr>
            </w:pPr>
            <w:r>
              <w:rPr>
                <w:rFonts w:hint="eastAsia"/>
                <w:lang w:val="en-US" w:eastAsia="zh-CN"/>
              </w:rPr>
              <w:t>2026-2027-2</w:t>
            </w:r>
          </w:p>
        </w:tc>
        <w:tc>
          <w:tcPr>
            <w:tcW w:w="1410" w:type="dxa"/>
            <w:vAlign w:val="center"/>
          </w:tcPr>
          <w:p w14:paraId="0C9072A0">
            <w:pPr>
              <w:autoSpaceDN w:val="0"/>
              <w:spacing w:line="300" w:lineRule="auto"/>
              <w:jc w:val="center"/>
              <w:textAlignment w:val="center"/>
            </w:pPr>
            <w:r>
              <w:rPr>
                <w:rFonts w:hint="eastAsia"/>
              </w:rPr>
              <w:t>考查</w:t>
            </w:r>
          </w:p>
        </w:tc>
      </w:tr>
      <w:tr w14:paraId="4F5D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shd w:val="clear" w:color="auto" w:fill="auto"/>
            <w:vAlign w:val="center"/>
          </w:tcPr>
          <w:p w14:paraId="221B74F0">
            <w:pPr>
              <w:snapToGrid w:val="0"/>
              <w:jc w:val="left"/>
              <w:rPr>
                <w:sz w:val="20"/>
                <w:szCs w:val="20"/>
              </w:rPr>
            </w:pPr>
            <w:r>
              <w:rPr>
                <w:rFonts w:hint="eastAsia" w:ascii="宋体" w:hAnsi="宋体" w:eastAsia="宋体" w:cs="宋体"/>
                <w:sz w:val="24"/>
                <w:szCs w:val="24"/>
                <w:lang w:val="en-US" w:eastAsia="zh-CN"/>
              </w:rPr>
              <w:t>数智化运维管理</w:t>
            </w:r>
          </w:p>
        </w:tc>
        <w:tc>
          <w:tcPr>
            <w:tcW w:w="575" w:type="dxa"/>
            <w:shd w:val="clear" w:color="auto" w:fill="auto"/>
            <w:vAlign w:val="center"/>
          </w:tcPr>
          <w:p w14:paraId="79AA704C">
            <w:pPr>
              <w:snapToGrid w:val="0"/>
              <w:jc w:val="center"/>
              <w:rPr>
                <w:rFonts w:hint="eastAsia" w:eastAsia="方正仿宋_GBK"/>
                <w:sz w:val="20"/>
                <w:szCs w:val="20"/>
                <w:lang w:eastAsia="zh-CN"/>
              </w:rPr>
            </w:pPr>
            <w:r>
              <w:rPr>
                <w:rFonts w:hint="eastAsia" w:eastAsia="方正仿宋_GBK"/>
                <w:sz w:val="20"/>
                <w:szCs w:val="20"/>
                <w:lang w:val="en-US" w:eastAsia="zh-CN"/>
              </w:rPr>
              <w:t>2</w:t>
            </w:r>
          </w:p>
        </w:tc>
        <w:tc>
          <w:tcPr>
            <w:tcW w:w="910" w:type="dxa"/>
            <w:shd w:val="clear" w:color="auto" w:fill="auto"/>
            <w:vAlign w:val="center"/>
          </w:tcPr>
          <w:p w14:paraId="18B32DDD">
            <w:pPr>
              <w:snapToGrid w:val="0"/>
              <w:jc w:val="center"/>
              <w:rPr>
                <w:rFonts w:hint="default" w:eastAsia="方正仿宋_GBK"/>
                <w:sz w:val="20"/>
                <w:szCs w:val="20"/>
                <w:lang w:val="en-US" w:eastAsia="zh-CN"/>
              </w:rPr>
            </w:pPr>
            <w:r>
              <w:rPr>
                <w:rFonts w:hint="eastAsia" w:eastAsia="方正仿宋_GBK"/>
                <w:sz w:val="20"/>
                <w:szCs w:val="20"/>
                <w:lang w:val="en-US" w:eastAsia="zh-CN"/>
              </w:rPr>
              <w:t>32</w:t>
            </w:r>
          </w:p>
        </w:tc>
        <w:tc>
          <w:tcPr>
            <w:tcW w:w="650" w:type="dxa"/>
            <w:vAlign w:val="center"/>
          </w:tcPr>
          <w:p w14:paraId="3E272CE0">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16</w:t>
            </w:r>
          </w:p>
        </w:tc>
        <w:tc>
          <w:tcPr>
            <w:tcW w:w="825" w:type="dxa"/>
            <w:vAlign w:val="center"/>
          </w:tcPr>
          <w:p w14:paraId="06AEC0CE">
            <w:pPr>
              <w:autoSpaceDN w:val="0"/>
              <w:spacing w:line="300" w:lineRule="auto"/>
              <w:jc w:val="center"/>
              <w:textAlignment w:val="center"/>
              <w:rPr>
                <w:rFonts w:hAnsi="宋体" w:eastAsia="宋体"/>
              </w:rPr>
            </w:pPr>
            <w:r>
              <w:rPr>
                <w:rFonts w:hint="eastAsia" w:hAnsi="宋体" w:eastAsia="宋体"/>
              </w:rPr>
              <w:t>16</w:t>
            </w:r>
          </w:p>
        </w:tc>
        <w:tc>
          <w:tcPr>
            <w:tcW w:w="795" w:type="dxa"/>
            <w:vAlign w:val="center"/>
          </w:tcPr>
          <w:p w14:paraId="0E0900D9">
            <w:pPr>
              <w:autoSpaceDN w:val="0"/>
              <w:spacing w:line="300" w:lineRule="auto"/>
              <w:jc w:val="center"/>
              <w:textAlignment w:val="center"/>
              <w:rPr>
                <w:rFonts w:hAnsi="宋体"/>
              </w:rPr>
            </w:pPr>
          </w:p>
        </w:tc>
        <w:tc>
          <w:tcPr>
            <w:tcW w:w="1365" w:type="dxa"/>
            <w:vAlign w:val="center"/>
          </w:tcPr>
          <w:p w14:paraId="336F83DD">
            <w:pPr>
              <w:autoSpaceDN w:val="0"/>
              <w:spacing w:line="300" w:lineRule="auto"/>
              <w:textAlignment w:val="center"/>
            </w:pPr>
            <w:r>
              <w:rPr>
                <w:rFonts w:hint="eastAsia"/>
                <w:lang w:val="en-US" w:eastAsia="zh-CN"/>
              </w:rPr>
              <w:t>2026-2027-2</w:t>
            </w:r>
          </w:p>
        </w:tc>
        <w:tc>
          <w:tcPr>
            <w:tcW w:w="1410" w:type="dxa"/>
            <w:vAlign w:val="center"/>
          </w:tcPr>
          <w:p w14:paraId="279EA2BA">
            <w:pPr>
              <w:autoSpaceDN w:val="0"/>
              <w:spacing w:line="300" w:lineRule="auto"/>
              <w:jc w:val="center"/>
              <w:textAlignment w:val="center"/>
            </w:pPr>
            <w:r>
              <w:rPr>
                <w:rFonts w:hint="eastAsia"/>
              </w:rPr>
              <w:t>考查</w:t>
            </w:r>
          </w:p>
        </w:tc>
      </w:tr>
      <w:tr w14:paraId="587B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Align w:val="center"/>
          </w:tcPr>
          <w:p w14:paraId="306543FD">
            <w:pPr>
              <w:autoSpaceDN w:val="0"/>
              <w:spacing w:line="300" w:lineRule="auto"/>
              <w:jc w:val="center"/>
              <w:textAlignment w:val="center"/>
              <w:rPr>
                <w:rFonts w:hAnsi="宋体"/>
              </w:rPr>
            </w:pPr>
            <w:r>
              <w:rPr>
                <w:rFonts w:hint="eastAsia" w:ascii="宋体" w:hAnsi="宋体" w:eastAsia="宋体" w:cs="宋体"/>
                <w:sz w:val="24"/>
                <w:szCs w:val="24"/>
                <w:lang w:val="en-US" w:eastAsia="zh-CN"/>
              </w:rPr>
              <w:t>合计</w:t>
            </w:r>
          </w:p>
        </w:tc>
        <w:tc>
          <w:tcPr>
            <w:tcW w:w="575" w:type="dxa"/>
            <w:vAlign w:val="center"/>
          </w:tcPr>
          <w:p w14:paraId="4C226C17">
            <w:pPr>
              <w:autoSpaceDN w:val="0"/>
              <w:spacing w:line="300" w:lineRule="auto"/>
              <w:jc w:val="center"/>
              <w:textAlignment w:val="center"/>
              <w:rPr>
                <w:rFonts w:hint="default" w:hAnsi="宋体" w:eastAsiaTheme="minorEastAsia"/>
                <w:lang w:val="en-US" w:eastAsia="zh-CN"/>
              </w:rPr>
            </w:pPr>
            <w:r>
              <w:rPr>
                <w:rFonts w:hint="eastAsia" w:hAnsi="宋体"/>
                <w:lang w:val="en-US" w:eastAsia="zh-CN"/>
              </w:rPr>
              <w:t>13</w:t>
            </w:r>
          </w:p>
        </w:tc>
        <w:tc>
          <w:tcPr>
            <w:tcW w:w="910" w:type="dxa"/>
            <w:vAlign w:val="center"/>
          </w:tcPr>
          <w:p w14:paraId="3C7562DB">
            <w:pPr>
              <w:autoSpaceDN w:val="0"/>
              <w:spacing w:line="300" w:lineRule="auto"/>
              <w:jc w:val="center"/>
              <w:textAlignment w:val="center"/>
              <w:rPr>
                <w:rFonts w:hint="default" w:hAnsi="宋体" w:eastAsiaTheme="minorEastAsia"/>
                <w:lang w:val="en-US" w:eastAsia="zh-CN"/>
              </w:rPr>
            </w:pPr>
            <w:r>
              <w:rPr>
                <w:rFonts w:hint="eastAsia" w:hAnsi="宋体"/>
                <w:lang w:val="en-US" w:eastAsia="zh-CN"/>
              </w:rPr>
              <w:t>208</w:t>
            </w:r>
          </w:p>
        </w:tc>
        <w:tc>
          <w:tcPr>
            <w:tcW w:w="650" w:type="dxa"/>
            <w:vAlign w:val="center"/>
          </w:tcPr>
          <w:p w14:paraId="4E6FEAB5">
            <w:pPr>
              <w:autoSpaceDN w:val="0"/>
              <w:spacing w:line="300" w:lineRule="auto"/>
              <w:jc w:val="center"/>
              <w:textAlignment w:val="center"/>
              <w:rPr>
                <w:rFonts w:hint="default" w:hAnsi="宋体" w:eastAsiaTheme="minorEastAsia"/>
                <w:lang w:val="en-US" w:eastAsia="zh-CN"/>
              </w:rPr>
            </w:pPr>
            <w:r>
              <w:rPr>
                <w:rFonts w:hint="eastAsia" w:hAnsi="宋体"/>
                <w:lang w:val="en-US" w:eastAsia="zh-CN"/>
              </w:rPr>
              <w:t>32</w:t>
            </w:r>
          </w:p>
        </w:tc>
        <w:tc>
          <w:tcPr>
            <w:tcW w:w="825" w:type="dxa"/>
            <w:vAlign w:val="center"/>
          </w:tcPr>
          <w:p w14:paraId="4147E018">
            <w:pPr>
              <w:autoSpaceDN w:val="0"/>
              <w:spacing w:line="300" w:lineRule="auto"/>
              <w:jc w:val="center"/>
              <w:textAlignment w:val="center"/>
              <w:rPr>
                <w:rFonts w:hint="default" w:hAnsi="宋体" w:eastAsiaTheme="minorEastAsia"/>
                <w:lang w:val="en-US" w:eastAsia="zh-CN"/>
              </w:rPr>
            </w:pPr>
            <w:r>
              <w:rPr>
                <w:rFonts w:hint="eastAsia" w:hAnsi="宋体"/>
                <w:lang w:val="en-US" w:eastAsia="zh-CN"/>
              </w:rPr>
              <w:t>176</w:t>
            </w:r>
          </w:p>
        </w:tc>
        <w:tc>
          <w:tcPr>
            <w:tcW w:w="795" w:type="dxa"/>
            <w:vAlign w:val="center"/>
          </w:tcPr>
          <w:p w14:paraId="52245A17">
            <w:pPr>
              <w:autoSpaceDN w:val="0"/>
              <w:spacing w:line="300" w:lineRule="auto"/>
              <w:jc w:val="center"/>
              <w:textAlignment w:val="center"/>
              <w:rPr>
                <w:rFonts w:hAnsi="宋体"/>
              </w:rPr>
            </w:pPr>
          </w:p>
        </w:tc>
        <w:tc>
          <w:tcPr>
            <w:tcW w:w="1365" w:type="dxa"/>
            <w:vAlign w:val="center"/>
          </w:tcPr>
          <w:p w14:paraId="04BBA59A">
            <w:pPr>
              <w:autoSpaceDN w:val="0"/>
              <w:spacing w:line="300" w:lineRule="auto"/>
              <w:textAlignment w:val="center"/>
            </w:pPr>
          </w:p>
        </w:tc>
        <w:tc>
          <w:tcPr>
            <w:tcW w:w="1410" w:type="dxa"/>
            <w:vAlign w:val="center"/>
          </w:tcPr>
          <w:p w14:paraId="45066F59">
            <w:pPr>
              <w:autoSpaceDN w:val="0"/>
              <w:spacing w:line="300" w:lineRule="auto"/>
              <w:jc w:val="center"/>
              <w:textAlignment w:val="center"/>
            </w:pPr>
          </w:p>
        </w:tc>
      </w:tr>
    </w:tbl>
    <w:p w14:paraId="334C5CC5">
      <w:pPr>
        <w:spacing w:line="360" w:lineRule="auto"/>
        <w:jc w:val="left"/>
        <w:rPr>
          <w:rFonts w:ascii="宋体" w:hAnsi="宋体" w:eastAsia="宋体" w:cs="宋体"/>
          <w:color w:val="FF0000"/>
          <w:sz w:val="24"/>
        </w:rPr>
      </w:pPr>
      <w:r>
        <w:rPr>
          <w:rFonts w:hint="eastAsia" w:ascii="宋体" w:hAnsi="宋体" w:eastAsia="宋体" w:cs="宋体"/>
          <w:sz w:val="24"/>
        </w:rPr>
        <w:t>注意：开课学期在连续两个学期内，课程授课安排主要在晚上或周末时间，具体见课表。</w:t>
      </w:r>
    </w:p>
    <w:p w14:paraId="0EF76280">
      <w:pPr>
        <w:spacing w:line="360" w:lineRule="auto"/>
        <w:ind w:firstLine="562" w:firstLineChars="200"/>
        <w:jc w:val="left"/>
        <w:rPr>
          <w:rFonts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（二）课程具体介绍</w:t>
      </w:r>
    </w:p>
    <w:p w14:paraId="002D621D">
      <w:pPr>
        <w:spacing w:line="360" w:lineRule="auto"/>
        <w:jc w:val="left"/>
        <w:rPr>
          <w:rFonts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val="en-US" w:eastAsia="zh-CN"/>
        </w:rPr>
        <w:t>数智化工程管理导论</w:t>
      </w:r>
    </w:p>
    <w:p w14:paraId="6FDD48B2">
      <w:pPr>
        <w:keepNext w:val="0"/>
        <w:keepLines w:val="0"/>
        <w:widowControl/>
        <w:suppressLineNumbers w:val="0"/>
        <w:ind w:firstLine="560" w:firstLineChars="200"/>
        <w:jc w:val="left"/>
        <w:rPr>
          <w:rFonts w:hint="eastAsia" w:ascii="宋体" w:hAnsi="宋体" w:eastAsia="宋体" w:cs="宋体"/>
          <w:color w:val="auto"/>
          <w:sz w:val="28"/>
          <w:szCs w:val="28"/>
          <w:lang w:val="en-US" w:eastAsia="zh-CN"/>
        </w:rPr>
      </w:pPr>
      <w:r>
        <w:rPr>
          <w:rFonts w:hint="eastAsia" w:ascii="宋体" w:hAnsi="宋体" w:eastAsia="宋体" w:cs="宋体"/>
          <w:sz w:val="28"/>
          <w:szCs w:val="28"/>
        </w:rPr>
        <w:t>【课程概述】</w:t>
      </w:r>
      <w:r>
        <w:rPr>
          <w:rFonts w:hint="eastAsia" w:ascii="宋体" w:hAnsi="宋体" w:eastAsia="宋体" w:cs="宋体"/>
          <w:color w:val="auto"/>
          <w:sz w:val="28"/>
          <w:szCs w:val="28"/>
          <w:lang w:val="en-US" w:eastAsia="zh-CN"/>
        </w:rPr>
        <w:t>本课程是全过程数智化工程管理微专业的先导核心课程，立足智能建造与建筑双碳发展背景，系统讲解数智化工程管理基本概念、技术体系与行业变革趋势。课程衔接传统工程管理与现代数字技术，帮助学生掌握数智建造、智慧运维、低碳管控的基础理论，为后续专业实训与核心课程学习奠定基础。</w:t>
      </w:r>
    </w:p>
    <w:p w14:paraId="2BC21E72">
      <w:pPr>
        <w:spacing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建筑大数据与智能视觉应用</w:t>
      </w:r>
    </w:p>
    <w:p w14:paraId="5434C988">
      <w:pPr>
        <w:spacing w:before="120" w:after="120" w:line="288" w:lineRule="auto"/>
        <w:ind w:left="0" w:firstLine="280" w:firstLineChars="100"/>
        <w:jc w:val="left"/>
        <w:rPr>
          <w:rFonts w:hint="eastAsia" w:ascii="宋体" w:hAnsi="宋体" w:eastAsia="宋体" w:cs="宋体"/>
          <w:color w:val="auto"/>
          <w:sz w:val="28"/>
          <w:szCs w:val="28"/>
          <w:lang w:val="en-US" w:eastAsia="zh-CN"/>
        </w:rPr>
      </w:pPr>
      <w:r>
        <w:rPr>
          <w:rFonts w:hint="eastAsia" w:ascii="宋体" w:hAnsi="宋体" w:eastAsia="宋体" w:cs="宋体"/>
          <w:sz w:val="28"/>
          <w:szCs w:val="28"/>
        </w:rPr>
        <w:t>【课程概述】</w:t>
      </w:r>
      <w:r>
        <w:rPr>
          <w:rFonts w:hint="eastAsia" w:ascii="宋体" w:hAnsi="宋体" w:eastAsia="宋体" w:cs="宋体"/>
          <w:color w:val="auto"/>
          <w:sz w:val="28"/>
          <w:szCs w:val="28"/>
          <w:lang w:val="en-US" w:eastAsia="zh-CN"/>
        </w:rPr>
        <w:t>本课程是全过程数智化工程管理微专业的前沿核心课程，紧扣智能建造与建筑数字化转型发展需求，重点讲解大数据技术、计算机视觉、智能感知技术在建筑工程全生命周期中的应用方法。课程主要涵盖工程多源数据采集、数据处理分析、图像智能识别、施工现场视觉监测、安全风险智能判别与数字化可视化管控等核心内容。结合智慧工地真实应用场景与工程案例开展教学，注重理论与实践结合，着力培养学生运用大数据与人工智能技术解决工程质量管控、安全巡查、进度监测、风险预警等实际问题的能力，夯实学生数智化工程管理核心素养。</w:t>
      </w:r>
    </w:p>
    <w:p w14:paraId="74B614E7">
      <w:pPr>
        <w:spacing w:line="360" w:lineRule="auto"/>
        <w:jc w:val="left"/>
        <w:rPr>
          <w:rFonts w:ascii="宋体" w:hAnsi="宋体" w:eastAsia="宋体" w:cs="宋体"/>
          <w:color w:val="auto"/>
          <w:sz w:val="28"/>
          <w:szCs w:val="28"/>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w:t>
      </w:r>
      <w:r>
        <w:rPr>
          <w:rFonts w:hint="eastAsia" w:ascii="宋体" w:hAnsi="宋体" w:eastAsia="宋体" w:cs="宋体"/>
          <w:sz w:val="28"/>
          <w:szCs w:val="28"/>
          <w:lang w:val="en-US" w:eastAsia="zh-CN"/>
        </w:rPr>
        <w:t>工程数字化建模与信息管理</w:t>
      </w:r>
    </w:p>
    <w:p w14:paraId="0F624081">
      <w:pPr>
        <w:keepNext w:val="0"/>
        <w:keepLines w:val="0"/>
        <w:widowControl/>
        <w:suppressLineNumbers w:val="0"/>
        <w:ind w:firstLine="560" w:firstLineChars="200"/>
        <w:jc w:val="left"/>
        <w:rPr>
          <w:rFonts w:hint="eastAsia" w:ascii="宋体" w:hAnsi="宋体" w:eastAsia="宋体" w:cs="宋体"/>
          <w:sz w:val="28"/>
          <w:szCs w:val="28"/>
        </w:rPr>
      </w:pPr>
      <w:r>
        <w:rPr>
          <w:rFonts w:hint="eastAsia" w:ascii="宋体" w:hAnsi="宋体" w:eastAsia="宋体" w:cs="宋体"/>
          <w:sz w:val="28"/>
          <w:szCs w:val="28"/>
        </w:rPr>
        <w:t>【课程概述】</w:t>
      </w:r>
      <w:r>
        <w:rPr>
          <w:rFonts w:hint="eastAsia" w:ascii="宋体" w:hAnsi="宋体" w:eastAsia="宋体" w:cs="宋体"/>
          <w:sz w:val="28"/>
          <w:szCs w:val="28"/>
          <w:lang w:val="en-US" w:eastAsia="zh-CN"/>
        </w:rPr>
        <w:t>本课程是全过程数智化工程管理微专业的核心技术基础课程，聚焦工程BIM数字化建模技术与工程信息全流程管控。课程重点讲解建筑三维建模、参数化设计、模型合规优化及工程数据存储、传递、协同管理方法，打通工程设计、施工、运维数据链条，培养学生数字化建模与工程信息集成管理能力，为后续智能分析、造价管控、低碳实训提供核心技术支撑。</w:t>
      </w:r>
    </w:p>
    <w:p w14:paraId="142CD8FC">
      <w:pPr>
        <w:spacing w:line="360" w:lineRule="auto"/>
        <w:jc w:val="left"/>
        <w:rPr>
          <w:rFonts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.工程智慧施工</w:t>
      </w:r>
    </w:p>
    <w:p w14:paraId="54451607">
      <w:pPr>
        <w:spacing w:line="360" w:lineRule="auto"/>
        <w:ind w:firstLine="560" w:firstLineChars="200"/>
        <w:rPr>
          <w:rFonts w:hint="eastAsia" w:ascii="Times New Roman" w:hAnsi="Times New Roman" w:eastAsia="宋体"/>
          <w:sz w:val="28"/>
          <w:szCs w:val="28"/>
        </w:rPr>
      </w:pPr>
      <w:r>
        <w:rPr>
          <w:rFonts w:hint="eastAsia" w:ascii="Times New Roman" w:hAnsi="Times New Roman" w:eastAsia="宋体"/>
          <w:sz w:val="28"/>
          <w:szCs w:val="28"/>
        </w:rPr>
        <w:t>【课程概述】本课程通过工程智慧施工课程的学习，学生能够对智能施工的理论有初步的认识。课程教学内容主要包括智能施工发展趋势、建筑施工过程数字化建造技术、建筑施工过程数字化管理技术、课程以“互联网+”“BIM+”“智能技术+”为驱动，强调理论与实践紧密结合。通过本课程的学习，掌握智慧施工的基本原理、关键技术与系统架构，理解智能测绘、智慧工地系统、数字化施工流程、建筑机器人应用等内容。</w:t>
      </w:r>
    </w:p>
    <w:p w14:paraId="3579C445">
      <w:pPr>
        <w:spacing w:line="360" w:lineRule="auto"/>
        <w:jc w:val="left"/>
        <w:rPr>
          <w:rFonts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w:t>
      </w:r>
      <w:r>
        <w:rPr>
          <w:rFonts w:hint="eastAsia" w:ascii="Times New Roman" w:hAnsi="Times New Roman" w:eastAsia="宋体"/>
          <w:sz w:val="28"/>
          <w:szCs w:val="28"/>
          <w:lang w:val="en-US" w:eastAsia="zh-CN"/>
        </w:rPr>
        <w:t>基于BIM的全过程造价管理与决策</w:t>
      </w:r>
    </w:p>
    <w:p w14:paraId="6D668977">
      <w:pPr>
        <w:keepNext w:val="0"/>
        <w:keepLines w:val="0"/>
        <w:widowControl/>
        <w:suppressLineNumbers w:val="0"/>
        <w:ind w:firstLine="560" w:firstLineChars="200"/>
        <w:jc w:val="left"/>
        <w:rPr>
          <w:rFonts w:hint="eastAsia" w:ascii="Times New Roman" w:hAnsi="Times New Roman" w:eastAsia="宋体"/>
          <w:sz w:val="28"/>
          <w:szCs w:val="28"/>
        </w:rPr>
      </w:pPr>
      <w:r>
        <w:rPr>
          <w:rFonts w:hint="eastAsia" w:ascii="宋体" w:hAnsi="宋体" w:eastAsia="宋体" w:cs="宋体"/>
          <w:sz w:val="28"/>
          <w:szCs w:val="28"/>
        </w:rPr>
        <w:t>【课程概述】</w:t>
      </w:r>
      <w:r>
        <w:rPr>
          <w:rFonts w:hint="eastAsia" w:ascii="Times New Roman" w:hAnsi="Times New Roman" w:eastAsia="宋体"/>
          <w:sz w:val="28"/>
          <w:szCs w:val="28"/>
          <w:lang w:val="en-US" w:eastAsia="zh-CN"/>
        </w:rPr>
        <w:t>本课程是全过程数智化工程管理微专业的核心实操课程，聚焦BIM技术在工程全生命周期造价管控中的应用。课程系统讲授BIM智能算量、清单计价、动态成本控制、造价数据分析及方案优化决策等内容，构建数字化造价管控思维，培养学生精准算量、成本把控与智能决策能力，契合现代建筑数字化造价管理岗位需求。</w:t>
      </w:r>
    </w:p>
    <w:p w14:paraId="3FC7A75F">
      <w:pPr>
        <w:spacing w:line="360" w:lineRule="auto"/>
        <w:jc w:val="left"/>
        <w:rPr>
          <w:rFonts w:hint="eastAsia" w:ascii="宋体" w:hAnsi="宋体" w:eastAsia="宋体" w:cs="宋体"/>
          <w:sz w:val="28"/>
          <w:szCs w:val="28"/>
        </w:rPr>
      </w:pPr>
      <w:r>
        <w:rPr>
          <w:rFonts w:hint="eastAsia" w:ascii="宋体" w:hAnsi="宋体" w:eastAsia="宋体" w:cs="宋体"/>
          <w:sz w:val="28"/>
          <w:szCs w:val="28"/>
        </w:rPr>
        <w:t>6.</w:t>
      </w:r>
      <w:r>
        <w:rPr>
          <w:rFonts w:hint="eastAsia" w:ascii="Times New Roman" w:hAnsi="Times New Roman" w:eastAsia="宋体"/>
          <w:sz w:val="28"/>
          <w:szCs w:val="28"/>
          <w:lang w:val="en-US" w:eastAsia="zh-CN"/>
        </w:rPr>
        <w:t>数智化运维管理</w:t>
      </w:r>
    </w:p>
    <w:p w14:paraId="49BA709C">
      <w:pPr>
        <w:spacing w:line="360" w:lineRule="auto"/>
        <w:ind w:firstLine="560" w:firstLineChars="200"/>
        <w:jc w:val="left"/>
        <w:rPr>
          <w:rFonts w:hint="eastAsia" w:ascii="Times New Roman" w:hAnsi="Times New Roman" w:eastAsia="宋体" w:cstheme="minorBidi"/>
          <w:kern w:val="2"/>
          <w:sz w:val="28"/>
          <w:szCs w:val="28"/>
          <w:lang w:val="en-US" w:eastAsia="zh-CN" w:bidi="ar-SA"/>
        </w:rPr>
      </w:pPr>
      <w:r>
        <w:rPr>
          <w:rFonts w:hint="eastAsia" w:ascii="Times New Roman" w:hAnsi="Times New Roman" w:eastAsia="宋体"/>
          <w:sz w:val="28"/>
          <w:szCs w:val="28"/>
        </w:rPr>
        <w:t>【课程概述】</w:t>
      </w:r>
      <w:r>
        <w:rPr>
          <w:rFonts w:hint="eastAsia" w:ascii="Times New Roman" w:hAnsi="Times New Roman" w:eastAsia="宋体" w:cstheme="minorBidi"/>
          <w:kern w:val="2"/>
          <w:sz w:val="28"/>
          <w:szCs w:val="28"/>
          <w:lang w:val="en-US" w:eastAsia="zh-CN" w:bidi="ar-SA"/>
        </w:rPr>
        <w:t>本课程是全过程数智化工程管理微专业的收官核心课程，面向建筑工程后期运营、设备运维与绿色低碳管理需求，系统讲授建筑智能化运维、设备数字化监测、能耗数据分析、设施病害排查、全周期运维台账管理等核心内容。课程依托BIM模型、碳排放分析、建筑性能仿真等数字化工具，结合智慧运维平台真实工程场景，重点培养学生工程运营阶段的数据监测、故障分析、节能优化、低碳管控与数字化决策能力，补齐工程全生命周期管理闭环，适配现代建筑智慧运维、绿色运营的岗位发展需求。</w:t>
      </w:r>
    </w:p>
    <w:p w14:paraId="0DE5A977">
      <w:pPr>
        <w:spacing w:line="360" w:lineRule="auto"/>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三、招生计划</w:t>
      </w:r>
    </w:p>
    <w:p w14:paraId="276C8287">
      <w:pPr>
        <w:spacing w:line="360" w:lineRule="auto"/>
        <w:ind w:firstLine="280" w:firstLineChars="100"/>
        <w:rPr>
          <w:rFonts w:ascii="Times New Roman" w:hAnsi="Times New Roman" w:eastAsia="宋体"/>
          <w:color w:val="FF0000"/>
          <w:sz w:val="28"/>
          <w:szCs w:val="28"/>
        </w:rPr>
      </w:pPr>
      <w:r>
        <w:rPr>
          <w:rFonts w:hint="eastAsia" w:ascii="Times New Roman" w:hAnsi="Times New Roman" w:eastAsia="宋体"/>
          <w:color w:val="000000" w:themeColor="text1"/>
          <w:sz w:val="28"/>
          <w:szCs w:val="28"/>
          <w14:textFill>
            <w14:solidFill>
              <w14:schemeClr w14:val="tx1"/>
            </w14:solidFill>
          </w14:textFill>
        </w:rPr>
        <w:t>计划招生人数：30</w:t>
      </w:r>
      <w:r>
        <w:rPr>
          <w:rFonts w:hint="eastAsia" w:ascii="Times New Roman" w:hAnsi="Times New Roman" w:eastAsia="宋体"/>
          <w:color w:val="000000" w:themeColor="text1"/>
          <w:sz w:val="28"/>
          <w:szCs w:val="28"/>
          <w:lang w:val="en-US" w:eastAsia="zh-CN"/>
          <w14:textFill>
            <w14:solidFill>
              <w14:schemeClr w14:val="tx1"/>
            </w14:solidFill>
          </w14:textFill>
        </w:rPr>
        <w:t>-60</w:t>
      </w:r>
      <w:r>
        <w:rPr>
          <w:rFonts w:hint="eastAsia" w:ascii="Times New Roman" w:hAnsi="Times New Roman" w:eastAsia="宋体"/>
          <w:color w:val="000000" w:themeColor="text1"/>
          <w:sz w:val="28"/>
          <w:szCs w:val="28"/>
          <w14:textFill>
            <w14:solidFill>
              <w14:schemeClr w14:val="tx1"/>
            </w14:solidFill>
          </w14:textFill>
        </w:rPr>
        <w:t>人。</w:t>
      </w:r>
    </w:p>
    <w:p w14:paraId="352EB9E8">
      <w:pPr>
        <w:spacing w:line="360" w:lineRule="auto"/>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四、招生要求</w:t>
      </w:r>
    </w:p>
    <w:p w14:paraId="1792E6CB">
      <w:pPr>
        <w:spacing w:line="360" w:lineRule="auto"/>
        <w:ind w:firstLine="638" w:firstLineChars="228"/>
        <w:rPr>
          <w:rFonts w:ascii="宋体" w:hAnsi="宋体" w:eastAsia="宋体" w:cs="宋体"/>
          <w:sz w:val="28"/>
          <w:szCs w:val="28"/>
        </w:rPr>
      </w:pPr>
      <w:r>
        <w:rPr>
          <w:rFonts w:hint="eastAsia" w:ascii="宋体" w:hAnsi="宋体" w:eastAsia="宋体" w:cs="宋体"/>
          <w:sz w:val="28"/>
          <w:szCs w:val="28"/>
        </w:rPr>
        <w:t>1.专业要求：</w:t>
      </w:r>
    </w:p>
    <w:p w14:paraId="0128F7C5">
      <w:pPr>
        <w:spacing w:line="360" w:lineRule="auto"/>
        <w:ind w:firstLine="560" w:firstLineChars="200"/>
        <w:jc w:val="left"/>
        <w:rPr>
          <w:rFonts w:hint="eastAsia" w:ascii="inherit" w:hAnsi="inherit" w:eastAsia="宋体" w:cs="Segoe UI"/>
          <w:kern w:val="0"/>
          <w:sz w:val="28"/>
          <w:szCs w:val="28"/>
        </w:rPr>
      </w:pPr>
      <w:r>
        <w:rPr>
          <w:rFonts w:hint="eastAsia" w:ascii="inherit" w:hAnsi="inherit" w:eastAsia="宋体" w:cs="Segoe UI"/>
          <w:kern w:val="0"/>
          <w:sz w:val="28"/>
          <w:szCs w:val="28"/>
          <w:lang w:val="en-US" w:eastAsia="zh-CN"/>
        </w:rPr>
        <w:t>水利工程学院、</w:t>
      </w:r>
      <w:r>
        <w:rPr>
          <w:rFonts w:ascii="inherit" w:hAnsi="inherit" w:eastAsia="宋体" w:cs="Segoe UI"/>
          <w:kern w:val="0"/>
          <w:sz w:val="28"/>
          <w:szCs w:val="28"/>
        </w:rPr>
        <w:t>土木</w:t>
      </w:r>
      <w:r>
        <w:rPr>
          <w:rFonts w:hint="eastAsia" w:ascii="inherit" w:hAnsi="inherit" w:eastAsia="宋体" w:cs="Segoe UI"/>
          <w:kern w:val="0"/>
          <w:sz w:val="28"/>
          <w:szCs w:val="28"/>
          <w:lang w:val="en-US" w:eastAsia="zh-CN"/>
        </w:rPr>
        <w:t>与安全</w:t>
      </w:r>
      <w:r>
        <w:rPr>
          <w:rFonts w:ascii="inherit" w:hAnsi="inherit" w:eastAsia="宋体" w:cs="Segoe UI"/>
          <w:kern w:val="0"/>
          <w:sz w:val="28"/>
          <w:szCs w:val="28"/>
        </w:rPr>
        <w:t>工程</w:t>
      </w:r>
      <w:r>
        <w:rPr>
          <w:rFonts w:hint="eastAsia" w:ascii="inherit" w:hAnsi="inherit" w:eastAsia="宋体" w:cs="Segoe UI"/>
          <w:kern w:val="0"/>
          <w:sz w:val="28"/>
          <w:szCs w:val="28"/>
          <w:lang w:val="en-US" w:eastAsia="zh-CN"/>
        </w:rPr>
        <w:t>学院、电信工程学院、计算机与人工智能学院、机械工程学院的所有工科专业。</w:t>
      </w:r>
    </w:p>
    <w:p w14:paraId="09BDCB13">
      <w:pPr>
        <w:spacing w:line="360" w:lineRule="auto"/>
        <w:ind w:firstLine="638" w:firstLineChars="228"/>
        <w:rPr>
          <w:rFonts w:ascii="宋体" w:hAnsi="宋体" w:eastAsia="宋体" w:cs="宋体"/>
          <w:sz w:val="28"/>
          <w:szCs w:val="28"/>
        </w:rPr>
      </w:pPr>
      <w:r>
        <w:rPr>
          <w:rFonts w:hint="eastAsia" w:ascii="宋体" w:hAnsi="宋体" w:eastAsia="宋体" w:cs="宋体"/>
          <w:sz w:val="28"/>
          <w:szCs w:val="28"/>
        </w:rPr>
        <w:t>2.报名条件：</w:t>
      </w:r>
    </w:p>
    <w:p w14:paraId="6BD68DB7">
      <w:pPr>
        <w:spacing w:line="360" w:lineRule="auto"/>
        <w:ind w:firstLine="560" w:firstLineChars="200"/>
        <w:jc w:val="left"/>
        <w:rPr>
          <w:rFonts w:ascii="inherit" w:hAnsi="inherit" w:eastAsia="宋体" w:cs="Segoe UI"/>
          <w:kern w:val="0"/>
          <w:sz w:val="28"/>
          <w:szCs w:val="28"/>
        </w:rPr>
      </w:pPr>
      <w:r>
        <w:rPr>
          <w:rFonts w:ascii="inherit" w:hAnsi="inherit" w:eastAsia="宋体" w:cs="Segoe UI"/>
          <w:kern w:val="0"/>
          <w:sz w:val="28"/>
          <w:szCs w:val="28"/>
        </w:rPr>
        <w:t>学有余力</w:t>
      </w:r>
      <w:r>
        <w:rPr>
          <w:rFonts w:hint="eastAsia" w:ascii="inherit" w:hAnsi="inherit" w:eastAsia="宋体" w:cs="Segoe UI"/>
          <w:kern w:val="0"/>
          <w:sz w:val="28"/>
          <w:szCs w:val="28"/>
        </w:rPr>
        <w:t>（没有不及格课程）</w:t>
      </w:r>
      <w:r>
        <w:rPr>
          <w:rFonts w:ascii="inherit" w:hAnsi="inherit" w:eastAsia="宋体" w:cs="Segoe UI"/>
          <w:kern w:val="0"/>
          <w:sz w:val="28"/>
          <w:szCs w:val="28"/>
        </w:rPr>
        <w:t>的全日制在校本科二年级及以上的学生</w:t>
      </w:r>
      <w:r>
        <w:rPr>
          <w:rFonts w:hint="eastAsia" w:ascii="inherit" w:hAnsi="inherit" w:eastAsia="宋体" w:cs="Segoe UI"/>
          <w:kern w:val="0"/>
          <w:sz w:val="28"/>
          <w:szCs w:val="28"/>
        </w:rPr>
        <w:t>，</w:t>
      </w:r>
      <w:r>
        <w:rPr>
          <w:rFonts w:ascii="inherit" w:hAnsi="inherit" w:eastAsia="宋体" w:cs="Segoe UI"/>
          <w:kern w:val="0"/>
          <w:sz w:val="28"/>
          <w:szCs w:val="28"/>
        </w:rPr>
        <w:t>身心健康，品行表现优良，无任何违法违纪受处分记录</w:t>
      </w:r>
      <w:r>
        <w:rPr>
          <w:rFonts w:hint="eastAsia" w:ascii="inherit" w:hAnsi="inherit" w:eastAsia="宋体" w:cs="Segoe UI"/>
          <w:kern w:val="0"/>
          <w:sz w:val="28"/>
          <w:szCs w:val="28"/>
        </w:rPr>
        <w:t>。</w:t>
      </w:r>
    </w:p>
    <w:p w14:paraId="0A877CF2">
      <w:pPr>
        <w:spacing w:line="360" w:lineRule="auto"/>
        <w:ind w:firstLine="480" w:firstLineChars="200"/>
        <w:jc w:val="left"/>
        <w:rPr>
          <w:rFonts w:cs="Times New Roman" w:asciiTheme="minorEastAsia" w:hAnsiTheme="minorEastAsia"/>
          <w:sz w:val="28"/>
          <w:szCs w:val="28"/>
        </w:rPr>
      </w:pP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3521075</wp:posOffset>
            </wp:positionH>
            <wp:positionV relativeFrom="paragraph">
              <wp:posOffset>1153795</wp:posOffset>
            </wp:positionV>
            <wp:extent cx="1835150" cy="2280285"/>
            <wp:effectExtent l="0" t="0" r="0" b="5715"/>
            <wp:wrapSquare wrapText="bothSides"/>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rcRect t="16085" r="-2591" b="12253"/>
                    <a:stretch>
                      <a:fillRect/>
                    </a:stretch>
                  </pic:blipFill>
                  <pic:spPr>
                    <a:xfrm>
                      <a:off x="0" y="0"/>
                      <a:ext cx="1835150" cy="2280285"/>
                    </a:xfrm>
                    <a:prstGeom prst="rect">
                      <a:avLst/>
                    </a:prstGeom>
                    <a:noFill/>
                    <a:ln w="9525">
                      <a:noFill/>
                    </a:ln>
                  </pic:spPr>
                </pic:pic>
              </a:graphicData>
            </a:graphic>
          </wp:anchor>
        </w:drawing>
      </w:r>
      <w:r>
        <w:rPr>
          <w:rFonts w:cs="Times New Roman" w:asciiTheme="minorEastAsia" w:hAnsiTheme="minorEastAsia"/>
          <w:sz w:val="28"/>
          <w:szCs w:val="28"/>
        </w:rPr>
        <w:t>3</w:t>
      </w:r>
      <w:r>
        <w:rPr>
          <w:rFonts w:hint="eastAsia" w:cs="Times New Roman" w:asciiTheme="minorEastAsia" w:hAnsiTheme="minorEastAsia"/>
          <w:sz w:val="28"/>
          <w:szCs w:val="28"/>
        </w:rPr>
        <w:t>.遴选方式：符合报名条件的，报名人数在招生规模以内的全部录取。超过招生规模的，根据第一学年学业绩点由高至低排序确定修读名单。</w:t>
      </w:r>
    </w:p>
    <w:p w14:paraId="5B926B8E">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五、微专业联系人及联系方式</w:t>
      </w:r>
    </w:p>
    <w:p w14:paraId="7E374D42">
      <w:pPr>
        <w:spacing w:line="360" w:lineRule="auto"/>
        <w:ind w:firstLine="560" w:firstLineChars="200"/>
        <w:rPr>
          <w:rFonts w:ascii="Times New Roman" w:hAnsi="Times New Roman" w:eastAsia="宋体"/>
          <w:sz w:val="28"/>
          <w:szCs w:val="28"/>
        </w:rPr>
      </w:pPr>
      <w:r>
        <w:rPr>
          <w:rFonts w:hint="eastAsia" w:ascii="Times New Roman" w:hAnsi="Times New Roman" w:eastAsia="宋体"/>
          <w:sz w:val="28"/>
          <w:szCs w:val="28"/>
        </w:rPr>
        <w:t xml:space="preserve">联系人：杜老师 </w:t>
      </w:r>
      <w:r>
        <w:rPr>
          <w:rFonts w:ascii="Times New Roman" w:hAnsi="Times New Roman" w:eastAsia="宋体"/>
          <w:sz w:val="28"/>
          <w:szCs w:val="28"/>
        </w:rPr>
        <w:t xml:space="preserve">               </w:t>
      </w:r>
    </w:p>
    <w:p w14:paraId="2A9BD9CF">
      <w:pPr>
        <w:spacing w:line="360" w:lineRule="auto"/>
        <w:ind w:firstLine="560" w:firstLineChars="200"/>
        <w:rPr>
          <w:rFonts w:ascii="Times New Roman" w:hAnsi="Times New Roman" w:eastAsia="宋体"/>
          <w:sz w:val="28"/>
          <w:szCs w:val="28"/>
        </w:rPr>
      </w:pPr>
      <w:r>
        <w:rPr>
          <w:rFonts w:hint="eastAsia" w:ascii="Times New Roman" w:hAnsi="Times New Roman" w:eastAsia="宋体"/>
          <w:sz w:val="28"/>
          <w:szCs w:val="28"/>
        </w:rPr>
        <w:t>电话：0555-5222057</w:t>
      </w:r>
      <w:r>
        <w:rPr>
          <w:rFonts w:hint="eastAsia" w:ascii="Times New Roman" w:hAnsi="Times New Roman" w:eastAsia="宋体"/>
          <w:sz w:val="28"/>
          <w:szCs w:val="28"/>
          <w:lang w:val="en-US" w:eastAsia="zh-CN"/>
        </w:rPr>
        <w:t xml:space="preserve">                  </w:t>
      </w:r>
    </w:p>
    <w:p w14:paraId="37FFA55A">
      <w:pPr>
        <w:spacing w:line="360" w:lineRule="auto"/>
        <w:ind w:firstLine="560" w:firstLineChars="200"/>
        <w:rPr>
          <w:rFonts w:ascii="Times New Roman" w:hAnsi="Times New Roman" w:eastAsia="宋体"/>
          <w:sz w:val="28"/>
          <w:szCs w:val="28"/>
        </w:rPr>
      </w:pPr>
      <w:r>
        <w:rPr>
          <w:rFonts w:hint="eastAsia" w:ascii="Times New Roman" w:hAnsi="Times New Roman" w:eastAsia="宋体"/>
          <w:sz w:val="28"/>
          <w:szCs w:val="28"/>
        </w:rPr>
        <w:t>邮箱：</w:t>
      </w:r>
      <w:r>
        <w:fldChar w:fldCharType="begin"/>
      </w:r>
      <w:r>
        <w:instrText xml:space="preserve"> HYPERLINK "mailto:1437913127@qq.com" </w:instrText>
      </w:r>
      <w:r>
        <w:fldChar w:fldCharType="separate"/>
      </w:r>
      <w:r>
        <w:rPr>
          <w:rStyle w:val="7"/>
          <w:rFonts w:hint="eastAsia" w:ascii="Times New Roman" w:hAnsi="Times New Roman" w:eastAsia="宋体"/>
          <w:sz w:val="28"/>
          <w:szCs w:val="28"/>
        </w:rPr>
        <w:t>1437913127</w:t>
      </w:r>
      <w:r>
        <w:rPr>
          <w:rStyle w:val="7"/>
          <w:rFonts w:ascii="Times New Roman" w:hAnsi="Times New Roman" w:eastAsia="宋体"/>
          <w:sz w:val="28"/>
          <w:szCs w:val="28"/>
        </w:rPr>
        <w:t>@qq.com</w:t>
      </w:r>
      <w:r>
        <w:rPr>
          <w:rStyle w:val="7"/>
          <w:rFonts w:ascii="Times New Roman" w:hAnsi="Times New Roman" w:eastAsia="宋体"/>
          <w:sz w:val="28"/>
          <w:szCs w:val="28"/>
        </w:rPr>
        <w:fldChar w:fldCharType="end"/>
      </w:r>
      <w:r>
        <w:rPr>
          <w:rFonts w:ascii="Times New Roman" w:hAnsi="Times New Roman" w:eastAsia="宋体"/>
          <w:sz w:val="28"/>
          <w:szCs w:val="28"/>
        </w:rPr>
        <w:t xml:space="preserve">      </w:t>
      </w:r>
    </w:p>
    <w:p w14:paraId="65774EA7">
      <w:pPr>
        <w:spacing w:line="360" w:lineRule="auto"/>
        <w:ind w:firstLine="560" w:firstLineChars="200"/>
        <w:rPr>
          <w:rFonts w:hint="default" w:ascii="Times New Roman" w:hAnsi="Times New Roman" w:eastAsia="宋体"/>
          <w:sz w:val="28"/>
          <w:szCs w:val="28"/>
          <w:lang w:val="en-US" w:eastAsia="zh-CN"/>
        </w:rPr>
      </w:pPr>
      <w:r>
        <w:rPr>
          <w:rFonts w:hint="eastAsia" w:ascii="Times New Roman" w:hAnsi="Times New Roman" w:eastAsia="宋体"/>
          <w:sz w:val="28"/>
          <w:szCs w:val="28"/>
        </w:rPr>
        <w:t>QQ群：</w:t>
      </w:r>
      <w:r>
        <w:rPr>
          <w:rFonts w:hint="eastAsia" w:ascii="Times New Roman" w:hAnsi="Times New Roman" w:eastAsia="宋体"/>
          <w:sz w:val="28"/>
          <w:szCs w:val="28"/>
          <w:lang w:val="en-US" w:eastAsia="zh-CN"/>
        </w:rPr>
        <w:t>1083665751</w:t>
      </w:r>
    </w:p>
    <w:p w14:paraId="2D113828">
      <w:pPr>
        <w:spacing w:line="360" w:lineRule="auto"/>
        <w:ind w:firstLine="560" w:firstLineChars="200"/>
        <w:rPr>
          <w:rFonts w:ascii="Times New Roman" w:hAnsi="Times New Roman" w:eastAsia="宋体"/>
          <w:color w:val="FF0000"/>
          <w:sz w:val="28"/>
          <w:szCs w:val="28"/>
        </w:rPr>
      </w:pPr>
    </w:p>
    <w:p w14:paraId="08A4280F">
      <w:pPr>
        <w:spacing w:line="360" w:lineRule="auto"/>
        <w:ind w:firstLine="1120" w:firstLineChars="400"/>
        <w:rPr>
          <w:rFonts w:ascii="Times New Roman" w:hAnsi="Times New Roman" w:eastAsia="宋体"/>
          <w:color w:val="000000" w:themeColor="text1"/>
          <w:sz w:val="28"/>
          <w:szCs w:val="28"/>
          <w14:textFill>
            <w14:solidFill>
              <w14:schemeClr w14:val="tx1"/>
            </w14:solidFill>
          </w14:textFill>
        </w:rPr>
      </w:pPr>
    </w:p>
    <w:p w14:paraId="371F5521">
      <w:pPr>
        <w:spacing w:line="360" w:lineRule="auto"/>
        <w:ind w:firstLine="1120" w:firstLineChars="400"/>
        <w:rPr>
          <w:rFonts w:ascii="Times New Roman" w:hAnsi="Times New Roman" w:eastAsia="宋体"/>
          <w:color w:val="000000" w:themeColor="text1"/>
          <w:sz w:val="28"/>
          <w:szCs w:val="28"/>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inheri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Segoe UI">
    <w:panose1 w:val="020B0502040204020203"/>
    <w:charset w:val="00"/>
    <w:family w:val="swiss"/>
    <w:pitch w:val="default"/>
    <w:sig w:usb0="E10022FF" w:usb1="C000E47F" w:usb2="00000029" w:usb3="00000000" w:csb0="200001DF" w:csb1="2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F184F13"/>
    <w:rsid w:val="24222300"/>
    <w:rsid w:val="244C1F30"/>
    <w:rsid w:val="3CFA0106"/>
    <w:rsid w:val="46785D0A"/>
    <w:rsid w:val="4DBE2568"/>
    <w:rsid w:val="56644F18"/>
    <w:rsid w:val="65742F7F"/>
    <w:rsid w:val="66F064F9"/>
    <w:rsid w:val="717A40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2021</Words>
  <Characters>2171</Characters>
  <Lines>14</Lines>
  <Paragraphs>3</Paragraphs>
  <TotalTime>5</TotalTime>
  <ScaleCrop>false</ScaleCrop>
  <LinksUpToDate>false</LinksUpToDate>
  <CharactersWithSpaces>2211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2025-08-31T16:05:00Z</dcterms:created>
  <dc:creator>柚心</dc:creator>
  <cp:lastModifiedBy>西瓜汁</cp:lastModifiedBy>
  <dcterms:modified xsi:type="dcterms:W3CDTF">2026-09-20T02:37:32Z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01BF50CC1BA2449BB137BBE3CAC74966_13</vt:lpwstr>
  </property>
  <property fmtid="{D5CDD505-2E9C-101B-9397-08002B2CF9AE}" pid="4" name="KSOTemplateDocerSaveRecord">
    <vt:lpwstr>eyJoZGlkIjoiNTU2YTQ1ZTEzMmY3MjA5OWMwZmI3NWM4M2VjMGZmMDEiLCJ1c2VySWQiOiIyODA3NzU3NDEifQ==</vt:lpwstr>
  </property>
</Properties>
</file>