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88DF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bookmarkStart w:id="0" w:name="_GoBack"/>
    </w:p>
    <w:p w14:paraId="0E3A3C4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6B28496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0396240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p>
    <w:p w14:paraId="63B3D00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rPr>
      </w:pPr>
    </w:p>
    <w:bookmarkEnd w:id="0"/>
    <w:p w14:paraId="55F4C10D">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ascii="仿宋" w:hAnsi="仿宋" w:eastAsia="仿宋" w:cs="仿宋"/>
          <w:szCs w:val="32"/>
          <w:lang w:eastAsia="zh-CN"/>
        </w:rPr>
      </w:pPr>
      <w:r>
        <w:rPr>
          <w:rFonts w:hint="eastAsia" w:ascii="仿宋" w:hAnsi="仿宋" w:eastAsia="仿宋" w:cs="仿宋"/>
          <w:szCs w:val="32"/>
          <w:lang w:eastAsia="zh-CN"/>
        </w:rPr>
        <w:t>皖工教发〔2026〕</w:t>
      </w:r>
      <w:r>
        <w:rPr>
          <w:rFonts w:hint="eastAsia" w:ascii="仿宋" w:hAnsi="仿宋" w:eastAsia="仿宋" w:cs="仿宋"/>
          <w:szCs w:val="32"/>
          <w:lang w:val="en-US" w:eastAsia="zh-CN"/>
        </w:rPr>
        <w:t>106</w:t>
      </w:r>
      <w:r>
        <w:rPr>
          <w:rFonts w:hint="eastAsia" w:ascii="仿宋" w:hAnsi="仿宋" w:eastAsia="仿宋" w:cs="仿宋"/>
          <w:szCs w:val="32"/>
          <w:lang w:eastAsia="zh-CN"/>
        </w:rPr>
        <w:t>号</w:t>
      </w:r>
    </w:p>
    <w:p w14:paraId="299EF926">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ascii="仿宋" w:hAnsi="仿宋" w:eastAsia="仿宋" w:cs="仿宋"/>
          <w:szCs w:val="32"/>
          <w:lang w:eastAsia="zh-CN"/>
        </w:rPr>
      </w:pPr>
    </w:p>
    <w:p w14:paraId="52C8F015">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ascii="仿宋" w:hAnsi="仿宋" w:eastAsia="仿宋" w:cs="仿宋"/>
          <w:szCs w:val="32"/>
          <w:lang w:eastAsia="zh-CN"/>
        </w:rPr>
      </w:pPr>
    </w:p>
    <w:p w14:paraId="6360AC55">
      <w:pPr>
        <w:keepNext w:val="0"/>
        <w:keepLines w:val="0"/>
        <w:pageBreakBefore w:val="0"/>
        <w:widowControl w:val="0"/>
        <w:tabs>
          <w:tab w:val="left" w:pos="4962"/>
        </w:tabs>
        <w:kinsoku/>
        <w:wordWrap/>
        <w:overflowPunct/>
        <w:topLinePunct w:val="0"/>
        <w:autoSpaceDE/>
        <w:autoSpaceDN/>
        <w:bidi w:val="0"/>
        <w:adjustRightInd/>
        <w:snapToGrid/>
        <w:spacing w:after="0" w:line="640" w:lineRule="exact"/>
        <w:jc w:val="center"/>
        <w:textAlignment w:val="auto"/>
        <w:rPr>
          <w:rFonts w:ascii="宋体" w:hAnsi="宋体" w:eastAsia="宋体" w:cs="宋体"/>
          <w:b/>
          <w:kern w:val="2"/>
          <w:sz w:val="44"/>
          <w:szCs w:val="44"/>
          <w:lang w:eastAsia="zh-CN"/>
        </w:rPr>
      </w:pPr>
      <w:r>
        <w:rPr>
          <w:rFonts w:ascii="宋体" w:hAnsi="宋体" w:eastAsia="宋体" w:cs="宋体"/>
          <w:b/>
          <w:kern w:val="2"/>
          <w:sz w:val="44"/>
          <w:szCs w:val="44"/>
          <w:lang w:eastAsia="zh-CN"/>
        </w:rPr>
        <w:t>关于举办2026年安徽省大学生智慧财税创新大赛校赛的通知</w:t>
      </w:r>
    </w:p>
    <w:p w14:paraId="113E97C5">
      <w:pPr>
        <w:keepNext w:val="0"/>
        <w:keepLines w:val="0"/>
        <w:pageBreakBefore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lang w:eastAsia="zh-CN"/>
        </w:rPr>
      </w:pPr>
    </w:p>
    <w:p w14:paraId="0EC018B7">
      <w:pPr>
        <w:keepNext w:val="0"/>
        <w:keepLines w:val="0"/>
        <w:pageBreakBefore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lang w:eastAsia="zh-CN"/>
        </w:rPr>
      </w:pPr>
      <w:r>
        <w:rPr>
          <w:rFonts w:hint="eastAsia" w:ascii="仿宋" w:hAnsi="仿宋" w:eastAsia="仿宋" w:cs="仿宋"/>
          <w:lang w:eastAsia="zh-CN"/>
        </w:rPr>
        <w:t>各学院：</w:t>
      </w:r>
    </w:p>
    <w:p w14:paraId="7A80E42B">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为深入学习贯彻党的二十大和二十届历次全会精神，主动服务全省数字经济高质量发展与财税体制改革需求，深化产教融合、科教融汇，推动财税类专业教学改革与产业数字化转型同频共振，加快培养具备大数据分析能力与业财融合思维的高素质应用型人才，根据《安徽省教育厅关于举办2026年安徽省大学生智慧财税创新大赛比赛的通知》安排，将组织我校学生参与本次大赛。现将有关事项通知如下：</w:t>
      </w:r>
    </w:p>
    <w:p w14:paraId="3DBE2E9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一、赛事简介</w:t>
      </w:r>
    </w:p>
    <w:p w14:paraId="440E697D">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安徽省大学生智慧财税创新大赛是面向全省高校大学生开展的财税类品牌竞赛活动，由安徽省教育厅主办、安徽财经大学承办，旨在引导大学生立足财税现实业务场景，运用财税、大数据、信息技术等多学科知识开展创新实践，提升大学生理论应用、团队协作与创新创业综合能力。本次大赛为技能赛，分为校内选拔赛与省级总决赛两个阶段，我校校赛即省内选拔赛，择优推荐优秀队伍晋级省级总决赛。</w:t>
      </w:r>
    </w:p>
    <w:p w14:paraId="77F1CC4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二、组织单位</w:t>
      </w:r>
    </w:p>
    <w:p w14:paraId="1237BBC2">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主办单位：皖江工学院教务处</w:t>
      </w:r>
    </w:p>
    <w:p w14:paraId="7F2AB8D8">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承办单位：皖江工学院财经学院</w:t>
      </w:r>
    </w:p>
    <w:p w14:paraId="25023F97">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竞赛负责人：刘晓</w:t>
      </w:r>
    </w:p>
    <w:p w14:paraId="624E46E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三、参赛对象</w:t>
      </w:r>
    </w:p>
    <w:p w14:paraId="70036EA6">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皖江工学院全日制在校学生，所读专业须为经济类、管理类，鼓励跨专业自由组队参赛。</w:t>
      </w:r>
    </w:p>
    <w:p w14:paraId="4EB8C8D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四、竞赛形式</w:t>
      </w:r>
    </w:p>
    <w:p w14:paraId="21FEE283">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（一）组队规则</w:t>
      </w:r>
    </w:p>
    <w:p w14:paraId="4A448AB7">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参赛可个人参赛或团队参赛，团队参赛人数以大赛赛项规程要求为准，全员均需在官网注册，同时必须确定1名队长，由队长完成报名、信息填报与赛事沟通；每支队伍可配备不超过2名指导教师。</w:t>
      </w:r>
    </w:p>
    <w:p w14:paraId="428A6120">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每名参赛选手仅允许参与1支队伍，不可同时在多支队伍任职；团队报名由队长完成全部成员信息填报，所有队员均需要完成大赛平台注册；队员信息填报务必真实准确，信息造假将直接取消队伍参赛资格。</w:t>
      </w:r>
    </w:p>
    <w:p w14:paraId="51BCEFE0">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（二）竞赛内容</w:t>
      </w:r>
    </w:p>
    <w:p w14:paraId="584B49C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竞赛为技能赛，包括初赛和决赛两个环节。</w:t>
      </w:r>
    </w:p>
    <w:p w14:paraId="5B5941B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1、比赛方式</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1147"/>
        <w:gridCol w:w="1588"/>
        <w:gridCol w:w="4375"/>
      </w:tblGrid>
      <w:tr w14:paraId="1EC7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8" w:type="dxa"/>
            <w:vAlign w:val="center"/>
          </w:tcPr>
          <w:p w14:paraId="0A3BB439">
            <w:pPr>
              <w:adjustRightInd w:val="0"/>
              <w:snapToGrid w:val="0"/>
              <w:spacing w:line="360" w:lineRule="auto"/>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比赛阶段</w:t>
            </w:r>
          </w:p>
        </w:tc>
        <w:tc>
          <w:tcPr>
            <w:tcW w:w="1176" w:type="dxa"/>
            <w:vAlign w:val="center"/>
          </w:tcPr>
          <w:p w14:paraId="2F7DA9E7">
            <w:pPr>
              <w:adjustRightInd w:val="0"/>
              <w:snapToGrid w:val="0"/>
              <w:spacing w:line="360" w:lineRule="auto"/>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竞赛形式</w:t>
            </w:r>
          </w:p>
        </w:tc>
        <w:tc>
          <w:tcPr>
            <w:tcW w:w="1636" w:type="dxa"/>
            <w:vAlign w:val="center"/>
          </w:tcPr>
          <w:p w14:paraId="02EBC96E">
            <w:pPr>
              <w:adjustRightInd w:val="0"/>
              <w:snapToGrid w:val="0"/>
              <w:spacing w:line="360" w:lineRule="auto"/>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竞赛模式</w:t>
            </w:r>
          </w:p>
        </w:tc>
        <w:tc>
          <w:tcPr>
            <w:tcW w:w="4538" w:type="dxa"/>
            <w:vAlign w:val="center"/>
          </w:tcPr>
          <w:p w14:paraId="2A9B3184">
            <w:pPr>
              <w:adjustRightInd w:val="0"/>
              <w:snapToGrid w:val="0"/>
              <w:spacing w:line="360" w:lineRule="auto"/>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竞赛方式</w:t>
            </w:r>
          </w:p>
        </w:tc>
      </w:tr>
      <w:tr w14:paraId="4918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8" w:type="dxa"/>
            <w:vAlign w:val="center"/>
          </w:tcPr>
          <w:p w14:paraId="623D5E14">
            <w:pPr>
              <w:spacing w:after="0" w:line="560" w:lineRule="exact"/>
              <w:rPr>
                <w:bCs/>
                <w:sz w:val="24"/>
                <w:szCs w:val="20"/>
                <w:lang w:eastAsia="zh-CN"/>
              </w:rPr>
            </w:pPr>
            <w:r>
              <w:rPr>
                <w:rFonts w:hint="eastAsia"/>
                <w:bCs/>
                <w:sz w:val="24"/>
                <w:szCs w:val="20"/>
                <w:lang w:eastAsia="zh-CN"/>
              </w:rPr>
              <w:t>初赛</w:t>
            </w:r>
          </w:p>
          <w:p w14:paraId="674F022D">
            <w:pPr>
              <w:spacing w:after="0" w:line="560" w:lineRule="exact"/>
              <w:rPr>
                <w:bCs/>
                <w:sz w:val="24"/>
                <w:szCs w:val="20"/>
                <w:lang w:eastAsia="zh-CN"/>
              </w:rPr>
            </w:pPr>
            <w:r>
              <w:rPr>
                <w:rFonts w:hint="eastAsia"/>
                <w:bCs/>
                <w:sz w:val="24"/>
                <w:szCs w:val="20"/>
                <w:lang w:eastAsia="zh-CN"/>
              </w:rPr>
              <w:t>（校赛）</w:t>
            </w:r>
          </w:p>
        </w:tc>
        <w:tc>
          <w:tcPr>
            <w:tcW w:w="1176" w:type="dxa"/>
            <w:vAlign w:val="center"/>
          </w:tcPr>
          <w:p w14:paraId="5D135B2D">
            <w:pPr>
              <w:spacing w:after="0" w:line="560" w:lineRule="exact"/>
              <w:jc w:val="both"/>
              <w:rPr>
                <w:bCs/>
                <w:sz w:val="24"/>
                <w:szCs w:val="20"/>
                <w:lang w:eastAsia="zh-CN"/>
              </w:rPr>
            </w:pPr>
            <w:r>
              <w:rPr>
                <w:rFonts w:hint="eastAsia"/>
                <w:bCs/>
                <w:sz w:val="24"/>
                <w:szCs w:val="20"/>
                <w:lang w:eastAsia="zh-CN"/>
              </w:rPr>
              <w:t>理论赛</w:t>
            </w:r>
          </w:p>
        </w:tc>
        <w:tc>
          <w:tcPr>
            <w:tcW w:w="1636" w:type="dxa"/>
            <w:vAlign w:val="center"/>
          </w:tcPr>
          <w:p w14:paraId="4A9DBD97">
            <w:pPr>
              <w:spacing w:after="0" w:line="560" w:lineRule="exact"/>
              <w:jc w:val="both"/>
              <w:rPr>
                <w:bCs/>
                <w:sz w:val="24"/>
                <w:szCs w:val="20"/>
                <w:lang w:eastAsia="zh-CN"/>
              </w:rPr>
            </w:pPr>
            <w:r>
              <w:rPr>
                <w:rFonts w:hint="eastAsia"/>
                <w:bCs/>
                <w:sz w:val="24"/>
                <w:szCs w:val="20"/>
                <w:lang w:eastAsia="zh-CN"/>
              </w:rPr>
              <w:t>单人单机</w:t>
            </w:r>
          </w:p>
        </w:tc>
        <w:tc>
          <w:tcPr>
            <w:tcW w:w="4538" w:type="dxa"/>
            <w:vAlign w:val="center"/>
          </w:tcPr>
          <w:p w14:paraId="207F2771">
            <w:pPr>
              <w:spacing w:after="0" w:line="560" w:lineRule="exact"/>
              <w:jc w:val="both"/>
              <w:rPr>
                <w:bCs/>
                <w:sz w:val="24"/>
                <w:szCs w:val="20"/>
                <w:lang w:eastAsia="zh-CN"/>
              </w:rPr>
            </w:pPr>
            <w:r>
              <w:rPr>
                <w:rFonts w:hint="eastAsia"/>
                <w:bCs/>
                <w:sz w:val="24"/>
                <w:szCs w:val="20"/>
                <w:lang w:eastAsia="zh-CN"/>
              </w:rPr>
              <w:t>初赛为理论知识赛，采用单人单机操作答题，时间为60分钟。理论赛期间不能相互交流。</w:t>
            </w:r>
          </w:p>
        </w:tc>
      </w:tr>
      <w:tr w14:paraId="12C5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8" w:type="dxa"/>
            <w:vAlign w:val="center"/>
          </w:tcPr>
          <w:p w14:paraId="5C90AC2A">
            <w:pPr>
              <w:spacing w:after="0" w:line="560" w:lineRule="exact"/>
              <w:rPr>
                <w:bCs/>
                <w:sz w:val="24"/>
                <w:szCs w:val="20"/>
                <w:lang w:eastAsia="zh-CN"/>
              </w:rPr>
            </w:pPr>
            <w:r>
              <w:rPr>
                <w:rFonts w:hint="eastAsia"/>
                <w:bCs/>
                <w:sz w:val="24"/>
                <w:szCs w:val="20"/>
                <w:lang w:eastAsia="zh-CN"/>
              </w:rPr>
              <w:t>决赛</w:t>
            </w:r>
          </w:p>
        </w:tc>
        <w:tc>
          <w:tcPr>
            <w:tcW w:w="1176" w:type="dxa"/>
            <w:vAlign w:val="center"/>
          </w:tcPr>
          <w:p w14:paraId="3529A837">
            <w:pPr>
              <w:spacing w:after="0" w:line="560" w:lineRule="exact"/>
              <w:jc w:val="both"/>
              <w:rPr>
                <w:bCs/>
                <w:sz w:val="24"/>
                <w:szCs w:val="20"/>
                <w:lang w:eastAsia="zh-CN"/>
              </w:rPr>
            </w:pPr>
            <w:r>
              <w:rPr>
                <w:rFonts w:hint="eastAsia"/>
                <w:bCs/>
                <w:sz w:val="24"/>
                <w:szCs w:val="20"/>
                <w:lang w:eastAsia="zh-CN"/>
              </w:rPr>
              <w:t>实操赛</w:t>
            </w:r>
          </w:p>
        </w:tc>
        <w:tc>
          <w:tcPr>
            <w:tcW w:w="1636" w:type="dxa"/>
            <w:vAlign w:val="center"/>
          </w:tcPr>
          <w:p w14:paraId="1A272178">
            <w:pPr>
              <w:spacing w:after="0" w:line="560" w:lineRule="exact"/>
              <w:jc w:val="both"/>
              <w:rPr>
                <w:bCs/>
                <w:sz w:val="24"/>
                <w:szCs w:val="20"/>
                <w:lang w:eastAsia="zh-CN"/>
              </w:rPr>
            </w:pPr>
            <w:r>
              <w:rPr>
                <w:rFonts w:hint="eastAsia"/>
                <w:bCs/>
                <w:sz w:val="24"/>
                <w:szCs w:val="20"/>
                <w:lang w:eastAsia="zh-CN"/>
              </w:rPr>
              <w:t>4人团队</w:t>
            </w:r>
          </w:p>
        </w:tc>
        <w:tc>
          <w:tcPr>
            <w:tcW w:w="4538" w:type="dxa"/>
            <w:vAlign w:val="center"/>
          </w:tcPr>
          <w:p w14:paraId="6A3BCA1D">
            <w:pPr>
              <w:spacing w:after="0" w:line="560" w:lineRule="exact"/>
              <w:jc w:val="both"/>
              <w:rPr>
                <w:bCs/>
                <w:sz w:val="24"/>
                <w:szCs w:val="20"/>
                <w:lang w:eastAsia="zh-CN"/>
              </w:rPr>
            </w:pPr>
            <w:r>
              <w:rPr>
                <w:rFonts w:hint="eastAsia"/>
                <w:bCs/>
                <w:sz w:val="24"/>
                <w:szCs w:val="20"/>
                <w:lang w:eastAsia="zh-CN"/>
              </w:rPr>
              <w:t>决赛为AI财税大数据分析与管理决策竞赛，采用团队整体作答，时间为180分钟。竞赛期间团队成员各自独立完成比赛任务，不能相互交流。</w:t>
            </w:r>
          </w:p>
        </w:tc>
      </w:tr>
    </w:tbl>
    <w:p w14:paraId="4471CF2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2、初赛考核内容</w:t>
      </w:r>
    </w:p>
    <w:p w14:paraId="5D25494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会计的基础理论知识（包括会计基本假设、会计信息质量要求、会计要素与会计恒等式、会计核算基础、会计计量属性、会计科目与账户、借贷记账方法、会计凭证与账簿等）、企业基本经济业务的核算、报表的编制及政府会计、事业单位会计部分内容；税收基础理论知识、18种税的识别与计算以及税款征收等。</w:t>
      </w:r>
    </w:p>
    <w:p w14:paraId="7A78625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szCs w:val="32"/>
          <w:lang w:eastAsia="zh-CN"/>
        </w:rPr>
      </w:pPr>
      <w:r>
        <w:rPr>
          <w:rFonts w:hint="eastAsia" w:ascii="仿宋" w:hAnsi="仿宋" w:eastAsia="仿宋" w:cs="仿宋"/>
          <w:szCs w:val="32"/>
          <w:lang w:eastAsia="zh-CN"/>
        </w:rPr>
        <w:t>3、决赛考核内容</w:t>
      </w:r>
    </w:p>
    <w:p w14:paraId="77624726">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本次省级决赛过程中涉及财税知识全部依据截止时间为2026年6月30日的企业会计准则与税收法规。</w:t>
      </w:r>
    </w:p>
    <w:p w14:paraId="10507405">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结合企业实际财税与管理工作流程开展考核，运用Python完成业财税数据处理、三大报表编制、财务指标与经营数据分析及可视化，借助AI智能体开展数据预测和异常检测。同时依据管理会计相关指引，运用专业模型完成战略、预算、营运、投融资及风险管理案例分析，融合ESG理念开展综合研判，提出可持续发展决策与改进建议。</w:t>
      </w:r>
    </w:p>
    <w:p w14:paraId="797F96FD">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考核参赛队员是否具备AI财税大数据分析与管理决策能力，具体包括运用Python结合会计规则编制三大财务报表、开展财务指标分析，实现业财税数据源的分析处理与可视化展示；掌握战略、绩效、风险管理工具及预算、成本、营运、投融资等管理会计方法，完成方案对比与决策建议；理解人工智能基础理论与常用算法，能借助 Python及AI智能体完成财务数据分类、趋势预测与异常检测并验证结果；深入掌握ESG在企业管理决策影响，开展量化分析。</w:t>
      </w:r>
    </w:p>
    <w:p w14:paraId="2ED06A70">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决赛阶段的理论和实操比赛内容详见附件。</w:t>
      </w:r>
    </w:p>
    <w:p w14:paraId="0C900E5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lang w:eastAsia="zh-CN"/>
        </w:rPr>
      </w:pPr>
      <w:r>
        <w:rPr>
          <w:rFonts w:hint="eastAsia" w:ascii="仿宋" w:hAnsi="仿宋" w:eastAsia="仿宋" w:cs="仿宋"/>
          <w:b/>
          <w:lang w:eastAsia="zh-CN"/>
        </w:rPr>
        <w:t>（三）竞赛安排及流程</w:t>
      </w:r>
    </w:p>
    <w:p w14:paraId="0D834700">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本次大赛为技能赛，竞赛分为校内选拔赛与省级总决赛两个阶段。</w:t>
      </w:r>
    </w:p>
    <w:p w14:paraId="0047763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1、校内选拔赛</w:t>
      </w:r>
    </w:p>
    <w:p w14:paraId="508FAE38">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lang w:eastAsia="zh-CN"/>
        </w:rPr>
      </w:pPr>
      <w:r>
        <w:rPr>
          <w:rFonts w:hint="eastAsia" w:ascii="仿宋" w:hAnsi="仿宋" w:eastAsia="仿宋" w:cs="仿宋"/>
          <w:bCs/>
          <w:lang w:eastAsia="zh-CN"/>
        </w:rPr>
        <w:t>由各校自行组织，参赛队伍数量不限。各学校初赛需在2026年10月15日前完成。</w:t>
      </w:r>
    </w:p>
    <w:p w14:paraId="331B6CB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2、省级总决赛</w:t>
      </w:r>
    </w:p>
    <w:p w14:paraId="3E259C11">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省赛决赛参赛队伍每校限报2支队伍。决赛报名请登录大赛官网（</w:t>
      </w:r>
      <w:r>
        <w:rPr>
          <w:rFonts w:hint="eastAsia" w:ascii="仿宋" w:hAnsi="仿宋" w:eastAsia="仿宋" w:cs="仿宋"/>
        </w:rPr>
        <w:fldChar w:fldCharType="begin"/>
      </w:r>
      <w:r>
        <w:rPr>
          <w:rFonts w:hint="eastAsia" w:ascii="仿宋" w:hAnsi="仿宋" w:eastAsia="仿宋" w:cs="仿宋"/>
        </w:rPr>
        <w:instrText xml:space="preserve"> HYPERLINK "http://www.ahcsds.cn/" </w:instrText>
      </w:r>
      <w:r>
        <w:rPr>
          <w:rFonts w:hint="eastAsia" w:ascii="仿宋" w:hAnsi="仿宋" w:eastAsia="仿宋" w:cs="仿宋"/>
        </w:rPr>
        <w:fldChar w:fldCharType="separate"/>
      </w:r>
      <w:r>
        <w:rPr>
          <w:rFonts w:hint="eastAsia" w:ascii="仿宋" w:hAnsi="仿宋" w:eastAsia="仿宋" w:cs="仿宋"/>
          <w:bCs/>
          <w:lang w:eastAsia="zh-CN"/>
        </w:rPr>
        <w:t>www.ahcsds.cn</w:t>
      </w:r>
      <w:r>
        <w:rPr>
          <w:rFonts w:hint="eastAsia" w:ascii="仿宋" w:hAnsi="仿宋" w:eastAsia="仿宋" w:cs="仿宋"/>
          <w:bCs/>
          <w:lang w:eastAsia="zh-CN"/>
        </w:rPr>
        <w:fldChar w:fldCharType="end"/>
      </w:r>
      <w:r>
        <w:rPr>
          <w:rFonts w:hint="eastAsia" w:ascii="仿宋" w:hAnsi="仿宋" w:eastAsia="仿宋" w:cs="仿宋"/>
          <w:bCs/>
          <w:lang w:eastAsia="zh-CN"/>
        </w:rPr>
        <w:t>），根据网站提示注册报名。</w:t>
      </w:r>
    </w:p>
    <w:p w14:paraId="43E102E1">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技能赛决赛报名截止时间：2026年10月16日24时</w:t>
      </w:r>
    </w:p>
    <w:p w14:paraId="2A384F40">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技能赛决赛拟定于2026年10月25日举办。</w:t>
      </w:r>
    </w:p>
    <w:p w14:paraId="4D45181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（四）校赛认定规则</w:t>
      </w:r>
    </w:p>
    <w:p w14:paraId="6EBA6CB8">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校赛成绩由学院组织专家组完成评定，根据校赛成绩排序认定2支队伍，推荐参加省级总决赛。</w:t>
      </w:r>
    </w:p>
    <w:p w14:paraId="00E9AF6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五、赛程时间</w:t>
      </w:r>
    </w:p>
    <w:p w14:paraId="1FFBC7AF">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校内选拔赛：2026年10月15日前完成</w:t>
      </w:r>
    </w:p>
    <w:p w14:paraId="19284B4F">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省赛决赛报名：2026年10月16日24时截止</w:t>
      </w:r>
    </w:p>
    <w:p w14:paraId="39DDE6A9">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省级总决赛：拟定于2026年10月25日举办</w:t>
      </w:r>
    </w:p>
    <w:p w14:paraId="10E6B22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六、相关说明</w:t>
      </w:r>
    </w:p>
    <w:p w14:paraId="7D4C7E24">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（一）请各参赛同学务必仔细研读大赛官方发布的赛项规程，吃透命题规则、提交格式、截止时间等关键信息，错过平台提交时间将视为自动放弃参赛。</w:t>
      </w:r>
    </w:p>
    <w:p w14:paraId="7A902954">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（二）学院将做好赛事咨询、政策解读、参赛动员工作，同学们在备赛过程中有疑问，可联系学院竞赛负责老师咨询。</w:t>
      </w:r>
    </w:p>
    <w:p w14:paraId="078E7E45">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（三）希望广大同学积极踊跃报名，充分发挥专业所学，大胆创新，高质量完成参赛准备，借助本次大赛锤炼专业实践本领，展现财经学子良好风貌。</w:t>
      </w:r>
    </w:p>
    <w:p w14:paraId="43AE76FB">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（四）请参赛同学加入校赛官方QQ群：</w:t>
      </w:r>
    </w:p>
    <w:p w14:paraId="17174E2B">
      <w:pPr>
        <w:spacing w:after="0" w:line="240" w:lineRule="auto"/>
        <w:jc w:val="center"/>
        <w:rPr>
          <w:lang w:eastAsia="zh-CN"/>
        </w:rPr>
      </w:pPr>
      <w:r>
        <w:rPr>
          <w:rFonts w:hint="eastAsia"/>
          <w:lang w:eastAsia="zh-CN"/>
        </w:rPr>
        <w:drawing>
          <wp:inline distT="0" distB="0" distL="114300" distR="114300">
            <wp:extent cx="1885950" cy="2395855"/>
            <wp:effectExtent l="0" t="0" r="0" b="4445"/>
            <wp:docPr id="6" name="图片 6" descr="029eaded364f0ab2c04c69a4ee267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29eaded364f0ab2c04c69a4ee267333"/>
                    <pic:cNvPicPr>
                      <a:picLocks noChangeAspect="1"/>
                    </pic:cNvPicPr>
                  </pic:nvPicPr>
                  <pic:blipFill>
                    <a:blip r:embed="rId7"/>
                    <a:stretch>
                      <a:fillRect/>
                    </a:stretch>
                  </pic:blipFill>
                  <pic:spPr>
                    <a:xfrm>
                      <a:off x="0" y="0"/>
                      <a:ext cx="1885950" cy="2395855"/>
                    </a:xfrm>
                    <a:prstGeom prst="rect">
                      <a:avLst/>
                    </a:prstGeom>
                  </pic:spPr>
                </pic:pic>
              </a:graphicData>
            </a:graphic>
          </wp:inline>
        </w:drawing>
      </w:r>
    </w:p>
    <w:p w14:paraId="741E7DB7">
      <w:pPr>
        <w:keepNext w:val="0"/>
        <w:keepLines w:val="0"/>
        <w:pageBreakBefore w:val="0"/>
        <w:widowControl/>
        <w:kinsoku/>
        <w:wordWrap/>
        <w:overflowPunct/>
        <w:topLinePunct w:val="0"/>
        <w:autoSpaceDE/>
        <w:autoSpaceDN/>
        <w:bidi w:val="0"/>
        <w:adjustRightInd/>
        <w:snapToGrid/>
        <w:spacing w:after="0" w:line="560" w:lineRule="exact"/>
        <w:jc w:val="right"/>
        <w:textAlignment w:val="auto"/>
      </w:pPr>
    </w:p>
    <w:p w14:paraId="32C290A7">
      <w:pPr>
        <w:keepNext w:val="0"/>
        <w:keepLines w:val="0"/>
        <w:pageBreakBefore w:val="0"/>
        <w:widowControl/>
        <w:kinsoku/>
        <w:wordWrap/>
        <w:overflowPunct/>
        <w:topLinePunct w:val="0"/>
        <w:autoSpaceDE/>
        <w:autoSpaceDN/>
        <w:bidi w:val="0"/>
        <w:adjustRightInd/>
        <w:snapToGrid/>
        <w:spacing w:after="0" w:line="560" w:lineRule="exact"/>
        <w:jc w:val="right"/>
        <w:textAlignment w:val="auto"/>
      </w:pPr>
    </w:p>
    <w:p w14:paraId="61C9123B">
      <w:pPr>
        <w:keepNext w:val="0"/>
        <w:keepLines w:val="0"/>
        <w:pageBreakBefore w:val="0"/>
        <w:widowControl/>
        <w:kinsoku/>
        <w:wordWrap/>
        <w:overflowPunct/>
        <w:topLinePunct w:val="0"/>
        <w:autoSpaceDE/>
        <w:autoSpaceDN/>
        <w:bidi w:val="0"/>
        <w:adjustRightInd/>
        <w:snapToGrid/>
        <w:spacing w:after="0" w:line="560" w:lineRule="exact"/>
        <w:jc w:val="right"/>
        <w:textAlignment w:val="auto"/>
      </w:pPr>
    </w:p>
    <w:p w14:paraId="50C9DB3A">
      <w:pPr>
        <w:keepNext w:val="0"/>
        <w:keepLines w:val="0"/>
        <w:pageBreakBefore w:val="0"/>
        <w:widowControl/>
        <w:kinsoku/>
        <w:wordWrap/>
        <w:overflowPunct/>
        <w:topLinePunct w:val="0"/>
        <w:autoSpaceDE/>
        <w:autoSpaceDN/>
        <w:bidi w:val="0"/>
        <w:adjustRightInd/>
        <w:snapToGrid/>
        <w:spacing w:after="0" w:line="560" w:lineRule="exact"/>
        <w:jc w:val="right"/>
        <w:textAlignment w:val="auto"/>
        <w:rPr>
          <w:lang w:eastAsia="zh-CN"/>
        </w:rPr>
      </w:pPr>
      <w:r>
        <w:rPr>
          <w:lang w:eastAsia="zh-CN"/>
        </w:rPr>
        <w:t>皖江工学院教务处</w:t>
      </w:r>
    </w:p>
    <w:p w14:paraId="6AEC22C0">
      <w:pPr>
        <w:keepNext w:val="0"/>
        <w:keepLines w:val="0"/>
        <w:pageBreakBefore w:val="0"/>
        <w:widowControl/>
        <w:kinsoku/>
        <w:wordWrap/>
        <w:overflowPunct/>
        <w:topLinePunct w:val="0"/>
        <w:autoSpaceDE/>
        <w:autoSpaceDN/>
        <w:bidi w:val="0"/>
        <w:adjustRightInd/>
        <w:snapToGrid/>
        <w:spacing w:after="240" w:line="560" w:lineRule="exact"/>
        <w:jc w:val="right"/>
        <w:textAlignment w:val="auto"/>
        <w:rPr>
          <w:lang w:eastAsia="zh-CN"/>
        </w:rPr>
      </w:pPr>
      <w:r>
        <w:rPr>
          <w:lang w:eastAsia="zh-CN"/>
        </w:rPr>
        <w:t>2026年9月20日</w:t>
      </w:r>
    </w:p>
    <w:p w14:paraId="6B17815A">
      <w:pPr>
        <w:keepNext w:val="0"/>
        <w:keepLines w:val="0"/>
        <w:pageBreakBefore w:val="0"/>
        <w:widowControl/>
        <w:kinsoku/>
        <w:wordWrap/>
        <w:overflowPunct/>
        <w:topLinePunct w:val="0"/>
        <w:autoSpaceDE/>
        <w:autoSpaceDN/>
        <w:bidi w:val="0"/>
        <w:adjustRightInd/>
        <w:snapToGrid/>
        <w:spacing w:line="620" w:lineRule="exact"/>
        <w:ind w:firstLine="5760" w:firstLineChars="1800"/>
        <w:jc w:val="right"/>
        <w:textAlignment w:val="auto"/>
        <w:rPr>
          <w:rFonts w:hint="eastAsia" w:ascii="仿宋" w:hAnsi="仿宋" w:eastAsia="仿宋" w:cs="仿宋"/>
          <w:szCs w:val="32"/>
        </w:rPr>
      </w:pPr>
    </w:p>
    <w:p w14:paraId="7FCA5A0B">
      <w:pPr>
        <w:keepNext w:val="0"/>
        <w:keepLines w:val="0"/>
        <w:pageBreakBefore w:val="0"/>
        <w:widowControl/>
        <w:kinsoku/>
        <w:wordWrap/>
        <w:overflowPunct/>
        <w:topLinePunct w:val="0"/>
        <w:autoSpaceDE/>
        <w:autoSpaceDN/>
        <w:bidi w:val="0"/>
        <w:adjustRightInd/>
        <w:snapToGrid/>
        <w:spacing w:line="620" w:lineRule="exact"/>
        <w:ind w:firstLine="5760" w:firstLineChars="1800"/>
        <w:jc w:val="right"/>
        <w:textAlignment w:val="auto"/>
        <w:rPr>
          <w:rFonts w:hint="eastAsia" w:ascii="仿宋" w:hAnsi="仿宋" w:eastAsia="仿宋" w:cs="仿宋"/>
          <w:szCs w:val="32"/>
        </w:rPr>
      </w:pPr>
    </w:p>
    <w:p w14:paraId="06C740D8">
      <w:pPr>
        <w:keepNext w:val="0"/>
        <w:keepLines w:val="0"/>
        <w:pageBreakBefore w:val="0"/>
        <w:widowControl/>
        <w:kinsoku/>
        <w:wordWrap/>
        <w:overflowPunct/>
        <w:topLinePunct w:val="0"/>
        <w:autoSpaceDE/>
        <w:autoSpaceDN/>
        <w:bidi w:val="0"/>
        <w:adjustRightInd/>
        <w:snapToGrid/>
        <w:spacing w:line="620" w:lineRule="exact"/>
        <w:ind w:firstLine="5760" w:firstLineChars="1800"/>
        <w:jc w:val="right"/>
        <w:textAlignment w:val="auto"/>
        <w:rPr>
          <w:rFonts w:hint="eastAsia" w:ascii="仿宋" w:hAnsi="仿宋" w:eastAsia="仿宋" w:cs="仿宋"/>
          <w:szCs w:val="32"/>
        </w:rPr>
      </w:pPr>
    </w:p>
    <w:p w14:paraId="39B9DBDB">
      <w:pPr>
        <w:keepNext w:val="0"/>
        <w:keepLines w:val="0"/>
        <w:pageBreakBefore w:val="0"/>
        <w:widowControl/>
        <w:kinsoku/>
        <w:wordWrap/>
        <w:overflowPunct/>
        <w:topLinePunct w:val="0"/>
        <w:autoSpaceDE/>
        <w:autoSpaceDN/>
        <w:bidi w:val="0"/>
        <w:adjustRightInd/>
        <w:snapToGrid/>
        <w:spacing w:line="620" w:lineRule="exact"/>
        <w:ind w:firstLine="5760" w:firstLineChars="1800"/>
        <w:jc w:val="right"/>
        <w:textAlignment w:val="auto"/>
        <w:rPr>
          <w:rFonts w:hint="eastAsia" w:ascii="仿宋" w:hAnsi="仿宋" w:eastAsia="仿宋" w:cs="仿宋"/>
          <w:szCs w:val="32"/>
        </w:rPr>
      </w:pPr>
    </w:p>
    <w:p w14:paraId="744E9383">
      <w:pPr>
        <w:keepNext w:val="0"/>
        <w:keepLines w:val="0"/>
        <w:pageBreakBefore w:val="0"/>
        <w:widowControl w:val="0"/>
        <w:kinsoku/>
        <w:wordWrap/>
        <w:overflowPunct/>
        <w:topLinePunct w:val="0"/>
        <w:autoSpaceDE/>
        <w:autoSpaceDN/>
        <w:bidi w:val="0"/>
        <w:adjustRightInd/>
        <w:snapToGrid/>
        <w:spacing w:line="620" w:lineRule="exact"/>
        <w:jc w:val="right"/>
        <w:textAlignment w:val="auto"/>
        <w:outlineLvl w:val="0"/>
        <w:rPr>
          <w:rFonts w:hint="eastAsia" w:ascii="仿宋" w:hAnsi="仿宋" w:eastAsia="仿宋" w:cs="仿宋"/>
          <w:sz w:val="32"/>
          <w:szCs w:val="32"/>
        </w:rPr>
      </w:pPr>
    </w:p>
    <w:p w14:paraId="1F1D0766">
      <w:pPr>
        <w:keepNext w:val="0"/>
        <w:keepLines w:val="0"/>
        <w:pageBreakBefore w:val="0"/>
        <w:widowControl w:val="0"/>
        <w:kinsoku/>
        <w:wordWrap/>
        <w:overflowPunct/>
        <w:topLinePunct w:val="0"/>
        <w:autoSpaceDE/>
        <w:autoSpaceDN/>
        <w:bidi w:val="0"/>
        <w:adjustRightInd/>
        <w:snapToGrid/>
        <w:spacing w:line="620" w:lineRule="exact"/>
        <w:jc w:val="right"/>
        <w:textAlignment w:val="auto"/>
        <w:outlineLvl w:val="0"/>
        <w:rPr>
          <w:rFonts w:hint="eastAsia" w:ascii="仿宋" w:hAnsi="仿宋" w:eastAsia="仿宋" w:cs="仿宋"/>
          <w:sz w:val="32"/>
          <w:szCs w:val="32"/>
        </w:rPr>
      </w:pPr>
    </w:p>
    <w:p w14:paraId="7E88A3F4">
      <w:pPr>
        <w:keepNext w:val="0"/>
        <w:keepLines w:val="0"/>
        <w:pageBreakBefore w:val="0"/>
        <w:widowControl w:val="0"/>
        <w:kinsoku/>
        <w:wordWrap/>
        <w:overflowPunct/>
        <w:topLinePunct w:val="0"/>
        <w:autoSpaceDE/>
        <w:autoSpaceDN/>
        <w:bidi w:val="0"/>
        <w:adjustRightInd/>
        <w:snapToGrid/>
        <w:spacing w:line="620" w:lineRule="exact"/>
        <w:jc w:val="both"/>
        <w:textAlignment w:val="auto"/>
        <w:outlineLvl w:val="0"/>
        <w:rPr>
          <w:rFonts w:hint="eastAsia" w:ascii="仿宋" w:hAnsi="仿宋" w:eastAsia="仿宋" w:cs="仿宋"/>
          <w:sz w:val="32"/>
          <w:szCs w:val="32"/>
          <w:lang w:val="en-US" w:eastAsia="zh-CN"/>
        </w:rPr>
      </w:pPr>
    </w:p>
    <w:p w14:paraId="15CCF2D3">
      <w:pPr>
        <w:keepNext w:val="0"/>
        <w:keepLines w:val="0"/>
        <w:pageBreakBefore w:val="0"/>
        <w:widowControl w:val="0"/>
        <w:kinsoku/>
        <w:wordWrap/>
        <w:overflowPunct/>
        <w:topLinePunct w:val="0"/>
        <w:autoSpaceDE/>
        <w:autoSpaceDN/>
        <w:bidi w:val="0"/>
        <w:adjustRightInd/>
        <w:snapToGrid/>
        <w:spacing w:line="620" w:lineRule="exact"/>
        <w:jc w:val="both"/>
        <w:textAlignment w:val="auto"/>
        <w:outlineLvl w:val="0"/>
        <w:rPr>
          <w:rFonts w:hint="eastAsia" w:ascii="仿宋" w:hAnsi="仿宋" w:eastAsia="仿宋" w:cs="仿宋"/>
          <w:sz w:val="32"/>
          <w:szCs w:val="32"/>
          <w:lang w:val="en-US" w:eastAsia="zh-CN"/>
        </w:rPr>
      </w:pPr>
    </w:p>
    <w:p w14:paraId="481B7666">
      <w:pPr>
        <w:spacing w:line="540" w:lineRule="exact"/>
        <w:ind w:firstLine="280" w:firstLineChars="100"/>
        <w:rPr>
          <w:lang w:eastAsia="zh-CN"/>
        </w:rPr>
      </w:pPr>
      <w:r>
        <w:rPr>
          <w:rFonts w:hint="eastAsia"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359410</wp:posOffset>
                </wp:positionV>
                <wp:extent cx="5264150" cy="9525"/>
                <wp:effectExtent l="0" t="0" r="0" b="0"/>
                <wp:wrapNone/>
                <wp:docPr id="3" name="直接连接符 3"/>
                <wp:cNvGraphicFramePr/>
                <a:graphic xmlns:a="http://schemas.openxmlformats.org/drawingml/2006/main">
                  <a:graphicData uri="http://schemas.microsoft.com/office/word/2010/wordprocessingShape">
                    <wps:wsp>
                      <wps:cNvCnPr/>
                      <wps:spPr>
                        <a:xfrm>
                          <a:off x="0" y="0"/>
                          <a:ext cx="5264150" cy="952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8.3pt;height:0.75pt;width:414.5pt;z-index:251659264;mso-width-relative:page;mso-height-relative:page;" filled="f" stroked="t" coordsize="21600,21600" o:gfxdata="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3x2Cw1AAAAAYBAAAPAAAAAAAAAAEAIAAAACIAAABkcnMvZG93bnJldi54bWxQSwEC&#10;FAAUAAAACACHTuJA0Hf3RPgBAAD1AwAADgAAAAAAAAABACAAAAAj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5264150" cy="12065"/>
                <wp:effectExtent l="0" t="4445" r="12700" b="12065"/>
                <wp:wrapNone/>
                <wp:docPr id="2" name="直接连接符 2"/>
                <wp:cNvGraphicFramePr/>
                <a:graphic xmlns:a="http://schemas.openxmlformats.org/drawingml/2006/main">
                  <a:graphicData uri="http://schemas.microsoft.com/office/word/2010/wordprocessingShape">
                    <wps:wsp>
                      <wps:cNvCnPr/>
                      <wps:spPr>
                        <a:xfrm>
                          <a:off x="0" y="0"/>
                          <a:ext cx="5264150" cy="1206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4pt;height:0.95pt;width:414.5pt;z-index:251660288;mso-width-relative:page;mso-height-relative:page;" filled="f" stroked="t" coordsize="21600,21600" o:gfxdata="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d+iO0QAAAAQBAAAPAAAAAAAAAAEAIAAAACIAAABkcnMvZG93bnJldi54bWxQSwEC&#10;FAAUAAAACACHTuJAx8psa/sBAAD2AwAADgAAAAAAAAABACAAAAAg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sz w:val="28"/>
          <w:szCs w:val="28"/>
        </w:rPr>
        <w:t>皖江工学院</w:t>
      </w:r>
      <w:r>
        <w:rPr>
          <w:rFonts w:hint="eastAsia" w:ascii="仿宋" w:hAnsi="仿宋" w:eastAsia="仿宋" w:cs="仿宋"/>
          <w:sz w:val="28"/>
          <w:szCs w:val="28"/>
          <w:lang w:eastAsia="zh-CN"/>
        </w:rPr>
        <w:t>教</w:t>
      </w:r>
      <w:r>
        <w:rPr>
          <w:rFonts w:hint="eastAsia" w:ascii="仿宋" w:hAnsi="仿宋" w:eastAsia="仿宋" w:cs="仿宋"/>
          <w:sz w:val="28"/>
          <w:szCs w:val="28"/>
        </w:rPr>
        <w:t>务</w:t>
      </w:r>
      <w:r>
        <w:rPr>
          <w:rFonts w:hint="eastAsia" w:ascii="仿宋" w:hAnsi="仿宋" w:eastAsia="仿宋" w:cs="仿宋"/>
          <w:sz w:val="28"/>
          <w:szCs w:val="28"/>
          <w:lang w:val="en-US" w:eastAsia="zh-CN"/>
        </w:rPr>
        <w:t>处</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9月20</w:t>
      </w:r>
      <w:r>
        <w:rPr>
          <w:rFonts w:hint="eastAsia" w:ascii="仿宋" w:hAnsi="仿宋" w:eastAsia="仿宋" w:cs="仿宋"/>
          <w:sz w:val="28"/>
          <w:szCs w:val="28"/>
        </w:rPr>
        <w:t>日印</w:t>
      </w:r>
      <w:r>
        <w:rPr>
          <w:rFonts w:hint="eastAsia" w:ascii="仿宋" w:hAnsi="仿宋" w:eastAsia="仿宋" w:cs="仿宋"/>
          <w:sz w:val="28"/>
          <w:szCs w:val="28"/>
          <w:lang w:eastAsia="zh-CN"/>
        </w:rPr>
        <w:t>发</w:t>
      </w:r>
    </w:p>
    <w:sectPr>
      <w:footerReference r:id="rId5" w:type="default"/>
      <w:pgSz w:w="11906" w:h="16838"/>
      <w:pgMar w:top="1440" w:right="1803" w:bottom="1440" w:left="1803"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CE893">
    <w:pPr>
      <w:pStyle w:val="24"/>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B9F146">
                          <w:pPr>
                            <w:pStyle w:val="2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B9F146">
                    <w:pPr>
                      <w:pStyle w:val="2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C16AA"/>
    <w:rsid w:val="00777003"/>
    <w:rsid w:val="00A7134A"/>
    <w:rsid w:val="00AA1D8D"/>
    <w:rsid w:val="00B47730"/>
    <w:rsid w:val="00BB251F"/>
    <w:rsid w:val="00CB0664"/>
    <w:rsid w:val="00EF2406"/>
    <w:rsid w:val="00FC693F"/>
    <w:rsid w:val="0761332F"/>
    <w:rsid w:val="12174036"/>
    <w:rsid w:val="1DA10088"/>
    <w:rsid w:val="1ED40276"/>
    <w:rsid w:val="34A208E8"/>
    <w:rsid w:val="48C46B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8"/>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7"/>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pPr>
      <w:spacing w:beforeAutospacing="1" w:after="0" w:afterAutospacing="1"/>
    </w:pPr>
    <w:rPr>
      <w:rFonts w:cs="Times New Roman"/>
      <w:sz w:val="24"/>
      <w:lang w:eastAsia="zh-CN"/>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yperlink"/>
    <w:basedOn w:val="133"/>
    <w:semiHidden/>
    <w:unhideWhenUsed/>
    <w:qFormat/>
    <w:uiPriority w:val="99"/>
    <w:rPr>
      <w:color w:val="0000FF"/>
      <w:u w:val="single"/>
    </w:rPr>
  </w:style>
  <w:style w:type="character" w:customStyle="1" w:styleId="137">
    <w:name w:val="页眉 字符"/>
    <w:basedOn w:val="133"/>
    <w:link w:val="25"/>
    <w:uiPriority w:val="99"/>
  </w:style>
  <w:style w:type="character" w:customStyle="1" w:styleId="138">
    <w:name w:val="页脚 字符"/>
    <w:basedOn w:val="133"/>
    <w:link w:val="24"/>
    <w:qFormat/>
    <w:uiPriority w:val="99"/>
  </w:style>
  <w:style w:type="paragraph" w:styleId="139">
    <w:name w:val="No Spacing"/>
    <w:qFormat/>
    <w:uiPriority w:val="1"/>
    <w:rPr>
      <w:rFonts w:asciiTheme="minorHAnsi" w:hAnsiTheme="minorHAnsi" w:eastAsiaTheme="minorEastAsia" w:cstheme="minorBidi"/>
      <w:sz w:val="22"/>
      <w:szCs w:val="22"/>
      <w:lang w:val="en-US" w:eastAsia="en-US" w:bidi="ar-SA"/>
    </w:rPr>
  </w:style>
  <w:style w:type="character" w:customStyle="1" w:styleId="140">
    <w:name w:val="标题 1 字符"/>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标题 2 字符"/>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标题 3 字符"/>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标题 字符"/>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副标题 字符"/>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正文文本 字符"/>
    <w:basedOn w:val="133"/>
    <w:link w:val="19"/>
    <w:uiPriority w:val="99"/>
  </w:style>
  <w:style w:type="character" w:customStyle="1" w:styleId="147">
    <w:name w:val="正文文本 2 字符"/>
    <w:basedOn w:val="133"/>
    <w:link w:val="28"/>
    <w:uiPriority w:val="99"/>
  </w:style>
  <w:style w:type="character" w:customStyle="1" w:styleId="148">
    <w:name w:val="正文文本 3 字符"/>
    <w:basedOn w:val="133"/>
    <w:link w:val="17"/>
    <w:uiPriority w:val="99"/>
    <w:rPr>
      <w:sz w:val="16"/>
      <w:szCs w:val="16"/>
    </w:rPr>
  </w:style>
  <w:style w:type="character" w:customStyle="1" w:styleId="149">
    <w:name w:val="宏文本 字符"/>
    <w:basedOn w:val="133"/>
    <w:link w:val="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引用 字符"/>
    <w:basedOn w:val="133"/>
    <w:link w:val="150"/>
    <w:uiPriority w:val="29"/>
    <w:rPr>
      <w:i/>
      <w:iCs/>
      <w:color w:val="000000" w:themeColor="text1"/>
      <w14:textFill>
        <w14:solidFill>
          <w14:schemeClr w14:val="tx1"/>
        </w14:solidFill>
      </w14:textFill>
    </w:rPr>
  </w:style>
  <w:style w:type="character" w:customStyle="1" w:styleId="152">
    <w:name w:val="标题 4 字符"/>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标题 5 字符"/>
    <w:basedOn w:val="133"/>
    <w:link w:val="7"/>
    <w:semiHidden/>
    <w:uiPriority w:val="9"/>
    <w:rPr>
      <w:rFonts w:asciiTheme="majorHAnsi" w:hAnsiTheme="majorHAnsi" w:eastAsiaTheme="majorEastAsia" w:cstheme="majorBidi"/>
      <w:color w:val="254061" w:themeColor="accent1" w:themeShade="80"/>
    </w:rPr>
  </w:style>
  <w:style w:type="character" w:customStyle="1" w:styleId="154">
    <w:name w:val="标题 6 字符"/>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5">
    <w:name w:val="标题 7 字符"/>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标题 8 字符"/>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标题 9 字符"/>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明显引用 字符"/>
    <w:basedOn w:val="133"/>
    <w:link w:val="158"/>
    <w:uiPriority w:val="30"/>
    <w:rPr>
      <w:b/>
      <w:bCs/>
      <w:i/>
      <w:iCs/>
      <w:color w:val="4F81BD" w:themeColor="accent1"/>
      <w14:textFill>
        <w14:solidFill>
          <w14:schemeClr w14:val="accent1"/>
        </w14:solidFill>
      </w14:textFill>
    </w:rPr>
  </w:style>
  <w:style w:type="character" w:customStyle="1" w:styleId="160">
    <w:name w:val="不明显强调1"/>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明显强调1"/>
    <w:basedOn w:val="133"/>
    <w:qFormat/>
    <w:uiPriority w:val="21"/>
    <w:rPr>
      <w:b/>
      <w:bCs/>
      <w:i/>
      <w:iCs/>
      <w:color w:val="4F81BD" w:themeColor="accent1"/>
      <w14:textFill>
        <w14:solidFill>
          <w14:schemeClr w14:val="accent1"/>
        </w14:solidFill>
      </w14:textFill>
    </w:rPr>
  </w:style>
  <w:style w:type="character" w:customStyle="1" w:styleId="162">
    <w:name w:val="不明显参考1"/>
    <w:basedOn w:val="133"/>
    <w:qFormat/>
    <w:uiPriority w:val="31"/>
    <w:rPr>
      <w:smallCaps/>
      <w:color w:val="C0504D" w:themeColor="accent2"/>
      <w:u w:val="single"/>
      <w14:textFill>
        <w14:solidFill>
          <w14:schemeClr w14:val="accent2"/>
        </w14:solidFill>
      </w14:textFill>
    </w:rPr>
  </w:style>
  <w:style w:type="character" w:customStyle="1" w:styleId="163">
    <w:name w:val="明显参考1"/>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书籍标题1"/>
    <w:basedOn w:val="133"/>
    <w:qFormat/>
    <w:uiPriority w:val="33"/>
    <w:rPr>
      <w:b/>
      <w:bCs/>
      <w:smallCaps/>
      <w:spacing w:val="5"/>
    </w:rPr>
  </w:style>
  <w:style w:type="paragraph" w:customStyle="1" w:styleId="165">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6</Pages>
  <Words>1912</Words>
  <Characters>2007</Characters>
  <Lines>79</Lines>
  <Paragraphs>82</Paragraphs>
  <TotalTime>10</TotalTime>
  <ScaleCrop>false</ScaleCrop>
  <LinksUpToDate>false</LinksUpToDate>
  <CharactersWithSpaces>2033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心情盒子</cp:lastModifiedBy>
  <cp:lastPrinted>2026-09-20T02:45:12Z</cp:lastPrinted>
  <dcterms:modified xsi:type="dcterms:W3CDTF">2026-09-20T02:46:44Z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eyJoZGlkIjoiOTVkYmM1MDJjMGMwYjczNzM3MDMxNTg4NmM2MGE2MGMiLCJ1c2VySWQiOiI2OTYwMTEyMzUifQ==</vt:lpwstr>
  </property>
  <property fmtid="{D5CDD505-2E9C-101B-9397-08002B2CF9AE}" pid="3" name="KSOProductBuildVer">
    <vt:lpwstr>2052-12.1.0.28505</vt:lpwstr>
  </property>
  <property fmtid="{D5CDD505-2E9C-101B-9397-08002B2CF9AE}" pid="4" name="ICV">
    <vt:lpwstr>9B3D700EBBAC49F2A500B3DBA3CC3192_13</vt:lpwstr>
  </property>
</Properties>
</file>