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6C1727">
      <w:pPr>
        <w:spacing w:line="560" w:lineRule="exact"/>
        <w:ind w:firstLine="640"/>
        <w:jc w:val="center"/>
        <w:rPr>
          <w:rFonts w:ascii="仿宋_GB2312" w:hAnsi="华文中宋" w:eastAsia="仿宋_GB2312"/>
          <w:sz w:val="32"/>
          <w:szCs w:val="32"/>
          <w:lang w:eastAsia="zh-CN"/>
        </w:rPr>
      </w:pPr>
    </w:p>
    <w:p w14:paraId="6C3CDEB5">
      <w:pPr>
        <w:spacing w:line="560" w:lineRule="exact"/>
        <w:ind w:firstLine="640"/>
        <w:jc w:val="center"/>
        <w:rPr>
          <w:rFonts w:ascii="仿宋_GB2312" w:hAnsi="华文中宋" w:eastAsia="仿宋_GB2312"/>
          <w:sz w:val="32"/>
          <w:szCs w:val="32"/>
          <w:lang w:eastAsia="zh-CN"/>
        </w:rPr>
      </w:pPr>
    </w:p>
    <w:p w14:paraId="57474E22">
      <w:pPr>
        <w:spacing w:line="560" w:lineRule="exact"/>
        <w:ind w:firstLine="640"/>
        <w:jc w:val="center"/>
        <w:rPr>
          <w:rFonts w:ascii="仿宋_GB2312" w:hAnsi="华文中宋" w:eastAsia="仿宋_GB2312"/>
          <w:sz w:val="32"/>
          <w:szCs w:val="32"/>
          <w:lang w:eastAsia="zh-CN"/>
        </w:rPr>
      </w:pPr>
    </w:p>
    <w:p w14:paraId="02933DAF">
      <w:pPr>
        <w:spacing w:line="560" w:lineRule="exact"/>
        <w:ind w:firstLine="640"/>
        <w:jc w:val="center"/>
        <w:rPr>
          <w:rFonts w:ascii="仿宋_GB2312" w:hAnsi="华文中宋" w:eastAsia="仿宋_GB2312"/>
          <w:sz w:val="32"/>
          <w:szCs w:val="32"/>
          <w:lang w:eastAsia="zh-CN"/>
        </w:rPr>
      </w:pPr>
    </w:p>
    <w:p w14:paraId="2633FDA5">
      <w:pPr>
        <w:spacing w:line="560" w:lineRule="exact"/>
        <w:ind w:firstLine="640"/>
        <w:jc w:val="center"/>
        <w:rPr>
          <w:rFonts w:ascii="仿宋_GB2312" w:hAnsi="华文中宋" w:eastAsia="仿宋_GB2312"/>
          <w:sz w:val="32"/>
          <w:szCs w:val="32"/>
          <w:lang w:eastAsia="zh-CN"/>
        </w:rPr>
      </w:pPr>
    </w:p>
    <w:p w14:paraId="117E41DA">
      <w:pPr>
        <w:spacing w:line="540" w:lineRule="exact"/>
        <w:jc w:val="center"/>
        <w:rPr>
          <w:rFonts w:ascii="仿宋" w:hAnsi="仿宋" w:eastAsia="仿宋"/>
          <w:sz w:val="32"/>
          <w:szCs w:val="32"/>
        </w:rPr>
      </w:pPr>
      <w:r>
        <w:rPr>
          <w:rFonts w:hint="eastAsia" w:ascii="仿宋" w:hAnsi="仿宋" w:eastAsia="仿宋"/>
          <w:sz w:val="32"/>
          <w:szCs w:val="32"/>
        </w:rPr>
        <w:t>皖工校政〔202</w:t>
      </w:r>
      <w:r>
        <w:rPr>
          <w:rFonts w:hint="eastAsia" w:ascii="仿宋" w:hAnsi="仿宋" w:eastAsia="仿宋"/>
          <w:sz w:val="32"/>
          <w:szCs w:val="32"/>
          <w:lang w:val="en-US" w:eastAsia="zh-CN"/>
        </w:rPr>
        <w:t>5</w:t>
      </w:r>
      <w:r>
        <w:rPr>
          <w:rFonts w:hint="eastAsia" w:ascii="仿宋" w:hAnsi="仿宋" w:eastAsia="仿宋"/>
          <w:sz w:val="32"/>
          <w:szCs w:val="32"/>
        </w:rPr>
        <w:t>〕</w:t>
      </w:r>
      <w:r>
        <w:rPr>
          <w:rFonts w:hint="eastAsia" w:ascii="仿宋" w:hAnsi="仿宋" w:eastAsia="仿宋"/>
          <w:sz w:val="32"/>
          <w:szCs w:val="32"/>
          <w:lang w:val="en-US" w:eastAsia="zh-CN"/>
        </w:rPr>
        <w:t>5</w:t>
      </w:r>
      <w:r>
        <w:rPr>
          <w:rFonts w:hint="eastAsia" w:ascii="仿宋" w:hAnsi="仿宋" w:eastAsia="仿宋"/>
          <w:sz w:val="32"/>
          <w:szCs w:val="32"/>
        </w:rPr>
        <w:t>号</w:t>
      </w:r>
    </w:p>
    <w:p w14:paraId="0683D752">
      <w:pPr>
        <w:spacing w:line="560" w:lineRule="exact"/>
        <w:ind w:firstLine="640"/>
        <w:jc w:val="center"/>
        <w:rPr>
          <w:rFonts w:ascii="仿宋_GB2312" w:hAnsi="华文中宋" w:eastAsia="仿宋_GB2312"/>
          <w:color w:val="000000" w:themeColor="text1"/>
          <w:sz w:val="32"/>
          <w:szCs w:val="32"/>
          <w:lang w:eastAsia="zh-CN"/>
          <w14:textFill>
            <w14:solidFill>
              <w14:schemeClr w14:val="tx1"/>
            </w14:solidFill>
          </w14:textFill>
        </w:rPr>
      </w:pPr>
    </w:p>
    <w:p w14:paraId="49BDD3F5">
      <w:pPr>
        <w:spacing w:line="560" w:lineRule="exact"/>
        <w:ind w:firstLine="640"/>
        <w:jc w:val="center"/>
        <w:rPr>
          <w:rFonts w:ascii="仿宋_GB2312" w:hAnsi="华文中宋" w:eastAsia="仿宋_GB2312"/>
          <w:color w:val="000000" w:themeColor="text1"/>
          <w:sz w:val="32"/>
          <w:szCs w:val="32"/>
          <w:lang w:eastAsia="zh-CN"/>
          <w14:textFill>
            <w14:solidFill>
              <w14:schemeClr w14:val="tx1"/>
            </w14:solidFill>
          </w14:textFill>
        </w:rPr>
      </w:pPr>
    </w:p>
    <w:p w14:paraId="39705930">
      <w:pPr>
        <w:tabs>
          <w:tab w:val="left" w:pos="4962"/>
        </w:tabs>
        <w:spacing w:line="560" w:lineRule="exact"/>
        <w:ind w:firstLine="0" w:firstLineChars="0"/>
        <w:jc w:val="center"/>
        <w:rPr>
          <w:rFonts w:hint="eastAsia" w:ascii="宋体" w:hAnsi="宋体" w:eastAsia="宋体" w:cs="宋体"/>
          <w:b/>
          <w:sz w:val="44"/>
          <w:szCs w:val="44"/>
          <w:lang w:eastAsia="zh-CN"/>
        </w:rPr>
      </w:pPr>
      <w:r>
        <w:rPr>
          <w:rFonts w:hint="eastAsia" w:ascii="宋体" w:hAnsi="宋体" w:eastAsia="宋体" w:cs="宋体"/>
          <w:b/>
          <w:sz w:val="44"/>
          <w:szCs w:val="44"/>
          <w:lang w:eastAsia="zh-CN"/>
        </w:rPr>
        <w:t>关于印发《皖江工学院学科竞赛管理办法（修订）》的通知</w:t>
      </w:r>
    </w:p>
    <w:p w14:paraId="2C9CB79F">
      <w:pPr>
        <w:spacing w:line="560" w:lineRule="exact"/>
        <w:ind w:firstLine="0" w:firstLineChars="0"/>
        <w:rPr>
          <w:rFonts w:hint="eastAsia" w:ascii="仿宋" w:hAnsi="仿宋" w:eastAsia="仿宋" w:cs="仿宋"/>
          <w:sz w:val="32"/>
          <w:szCs w:val="32"/>
          <w:lang w:eastAsia="zh-CN"/>
        </w:rPr>
      </w:pPr>
    </w:p>
    <w:p w14:paraId="5A43920A">
      <w:pPr>
        <w:spacing w:line="560" w:lineRule="exact"/>
        <w:ind w:firstLine="0" w:firstLineChars="0"/>
        <w:rPr>
          <w:rFonts w:hint="eastAsia" w:ascii="仿宋" w:hAnsi="仿宋" w:eastAsia="仿宋" w:cs="仿宋"/>
          <w:sz w:val="32"/>
          <w:szCs w:val="32"/>
          <w:lang w:eastAsia="zh-CN"/>
        </w:rPr>
      </w:pPr>
      <w:r>
        <w:rPr>
          <w:rFonts w:hint="eastAsia" w:ascii="仿宋" w:hAnsi="仿宋" w:eastAsia="仿宋" w:cs="仿宋"/>
          <w:sz w:val="32"/>
          <w:szCs w:val="32"/>
          <w:lang w:eastAsia="zh-CN"/>
        </w:rPr>
        <w:t>各院（部）、部门：</w:t>
      </w:r>
    </w:p>
    <w:p w14:paraId="3270E4D3">
      <w:pPr>
        <w:spacing w:line="560" w:lineRule="exact"/>
        <w:ind w:firstLine="640"/>
        <w:rPr>
          <w:rFonts w:hint="eastAsia" w:ascii="仿宋" w:hAnsi="仿宋" w:eastAsia="仿宋" w:cs="仿宋"/>
          <w:sz w:val="32"/>
          <w:szCs w:val="32"/>
          <w:lang w:eastAsia="zh-CN"/>
        </w:rPr>
      </w:pPr>
      <w:r>
        <w:rPr>
          <w:rFonts w:hint="eastAsia" w:ascii="仿宋" w:hAnsi="仿宋" w:eastAsia="仿宋" w:cs="仿宋"/>
          <w:sz w:val="32"/>
          <w:szCs w:val="32"/>
          <w:lang w:eastAsia="zh-CN"/>
        </w:rPr>
        <w:t>现将《皖江工学院学科竞赛管理办法（修订）》印发给你们，请认真贯彻执行。</w:t>
      </w:r>
    </w:p>
    <w:p w14:paraId="66EEAB54">
      <w:pPr>
        <w:spacing w:line="560" w:lineRule="exact"/>
        <w:ind w:firstLine="640"/>
        <w:rPr>
          <w:rFonts w:hint="eastAsia" w:ascii="仿宋" w:hAnsi="仿宋" w:eastAsia="仿宋" w:cs="仿宋"/>
          <w:sz w:val="32"/>
          <w:szCs w:val="32"/>
          <w:lang w:eastAsia="zh-CN"/>
        </w:rPr>
      </w:pPr>
    </w:p>
    <w:p w14:paraId="3191372E">
      <w:pPr>
        <w:spacing w:line="560" w:lineRule="exact"/>
        <w:ind w:firstLine="640"/>
        <w:rPr>
          <w:rFonts w:hint="eastAsia" w:ascii="仿宋" w:hAnsi="仿宋" w:eastAsia="仿宋" w:cs="仿宋"/>
          <w:sz w:val="32"/>
          <w:szCs w:val="32"/>
          <w:lang w:eastAsia="zh-CN"/>
        </w:rPr>
      </w:pPr>
      <w:r>
        <w:rPr>
          <w:rFonts w:hint="eastAsia" w:ascii="仿宋" w:hAnsi="仿宋" w:eastAsia="仿宋" w:cs="仿宋"/>
          <w:sz w:val="32"/>
          <w:szCs w:val="32"/>
          <w:lang w:eastAsia="zh-CN"/>
        </w:rPr>
        <w:t>附件：皖江工学院学科竞赛管理办法（修订）</w:t>
      </w:r>
    </w:p>
    <w:p w14:paraId="466449AC">
      <w:pPr>
        <w:spacing w:line="560" w:lineRule="exact"/>
        <w:ind w:firstLine="640"/>
        <w:rPr>
          <w:rFonts w:hint="eastAsia" w:ascii="仿宋" w:hAnsi="仿宋" w:eastAsia="仿宋" w:cs="仿宋"/>
          <w:sz w:val="32"/>
          <w:szCs w:val="32"/>
          <w:lang w:eastAsia="zh-CN"/>
        </w:rPr>
      </w:pPr>
    </w:p>
    <w:p w14:paraId="607BF56D">
      <w:pPr>
        <w:spacing w:line="560" w:lineRule="exact"/>
        <w:ind w:firstLine="640"/>
        <w:rPr>
          <w:rFonts w:hint="eastAsia" w:ascii="仿宋" w:hAnsi="仿宋" w:eastAsia="仿宋" w:cs="仿宋"/>
          <w:sz w:val="32"/>
          <w:szCs w:val="32"/>
          <w:lang w:eastAsia="zh-CN"/>
        </w:rPr>
      </w:pPr>
    </w:p>
    <w:p w14:paraId="3CD3D591">
      <w:pPr>
        <w:spacing w:line="560" w:lineRule="exact"/>
        <w:ind w:firstLine="640"/>
        <w:rPr>
          <w:rFonts w:hint="eastAsia" w:ascii="仿宋" w:hAnsi="仿宋" w:eastAsia="仿宋" w:cs="仿宋"/>
          <w:sz w:val="32"/>
          <w:szCs w:val="32"/>
          <w:lang w:eastAsia="zh-CN"/>
        </w:rPr>
      </w:pPr>
    </w:p>
    <w:p w14:paraId="0E297289">
      <w:pPr>
        <w:keepNext w:val="0"/>
        <w:keepLines w:val="0"/>
        <w:pageBreakBefore w:val="0"/>
        <w:widowControl/>
        <w:tabs>
          <w:tab w:val="left" w:pos="720"/>
        </w:tabs>
        <w:kinsoku/>
        <w:wordWrap/>
        <w:overflowPunct/>
        <w:topLinePunct w:val="0"/>
        <w:autoSpaceDE/>
        <w:autoSpaceDN/>
        <w:bidi w:val="0"/>
        <w:adjustRightInd w:val="0"/>
        <w:snapToGrid w:val="0"/>
        <w:spacing w:line="560" w:lineRule="exact"/>
        <w:ind w:firstLine="6400" w:firstLineChars="2000"/>
        <w:jc w:val="left"/>
        <w:textAlignment w:val="auto"/>
        <w:rPr>
          <w:rFonts w:hint="eastAsia" w:ascii="仿宋" w:hAnsi="仿宋" w:eastAsia="仿宋" w:cs="仿宋"/>
          <w:sz w:val="32"/>
          <w:szCs w:val="32"/>
        </w:rPr>
      </w:pPr>
      <w:r>
        <w:rPr>
          <w:rFonts w:hint="eastAsia" w:ascii="仿宋" w:hAnsi="仿宋" w:eastAsia="仿宋" w:cs="仿宋"/>
          <w:sz w:val="32"/>
          <w:szCs w:val="32"/>
          <w:lang w:eastAsia="zh-CN"/>
        </w:rPr>
        <w:t>皖江工学院</w:t>
      </w:r>
      <w:r>
        <w:rPr>
          <w:rFonts w:hint="eastAsia" w:ascii="仿宋" w:hAnsi="仿宋" w:eastAsia="仿宋" w:cs="仿宋"/>
          <w:sz w:val="32"/>
          <w:szCs w:val="32"/>
        </w:rPr>
        <w:t xml:space="preserve">   </w:t>
      </w:r>
    </w:p>
    <w:p w14:paraId="6015339A">
      <w:pPr>
        <w:spacing w:line="500" w:lineRule="exact"/>
        <w:jc w:val="right"/>
        <w:rPr>
          <w:rFonts w:hint="eastAsia" w:ascii="仿宋" w:hAnsi="仿宋" w:eastAsia="仿宋" w:cs="仿宋"/>
          <w:kern w:val="0"/>
          <w:sz w:val="32"/>
          <w:szCs w:val="32"/>
        </w:rPr>
      </w:pPr>
      <w:r>
        <w:rPr>
          <w:rFonts w:hint="eastAsia" w:ascii="仿宋" w:hAnsi="仿宋" w:eastAsia="仿宋" w:cs="仿宋"/>
          <w:kern w:val="0"/>
          <w:sz w:val="32"/>
          <w:szCs w:val="32"/>
        </w:rPr>
        <w:t>20</w:t>
      </w:r>
      <w:r>
        <w:rPr>
          <w:rFonts w:hint="eastAsia" w:ascii="仿宋" w:hAnsi="仿宋" w:eastAsia="仿宋" w:cs="仿宋"/>
          <w:kern w:val="0"/>
          <w:sz w:val="32"/>
          <w:szCs w:val="32"/>
          <w:lang w:val="en-US" w:eastAsia="zh-CN"/>
        </w:rPr>
        <w:t>25</w:t>
      </w:r>
      <w:r>
        <w:rPr>
          <w:rFonts w:hint="eastAsia" w:ascii="仿宋" w:hAnsi="仿宋" w:eastAsia="仿宋" w:cs="仿宋"/>
          <w:kern w:val="0"/>
          <w:sz w:val="32"/>
          <w:szCs w:val="32"/>
        </w:rPr>
        <w:t>年</w:t>
      </w:r>
      <w:r>
        <w:rPr>
          <w:rFonts w:hint="eastAsia" w:ascii="仿宋" w:hAnsi="仿宋" w:eastAsia="仿宋" w:cs="仿宋"/>
          <w:kern w:val="0"/>
          <w:sz w:val="32"/>
          <w:szCs w:val="32"/>
          <w:lang w:val="en-US" w:eastAsia="zh-CN"/>
        </w:rPr>
        <w:t>1</w:t>
      </w:r>
      <w:r>
        <w:rPr>
          <w:rFonts w:hint="eastAsia" w:ascii="仿宋" w:hAnsi="仿宋" w:eastAsia="仿宋" w:cs="仿宋"/>
          <w:kern w:val="0"/>
          <w:sz w:val="32"/>
          <w:szCs w:val="32"/>
        </w:rPr>
        <w:t>月</w:t>
      </w:r>
      <w:r>
        <w:rPr>
          <w:rFonts w:hint="eastAsia" w:ascii="仿宋" w:hAnsi="仿宋" w:eastAsia="仿宋" w:cs="仿宋"/>
          <w:kern w:val="0"/>
          <w:sz w:val="32"/>
          <w:szCs w:val="32"/>
          <w:lang w:val="en-US" w:eastAsia="zh-CN"/>
        </w:rPr>
        <w:t>3</w:t>
      </w:r>
      <w:r>
        <w:rPr>
          <w:rFonts w:hint="eastAsia" w:ascii="仿宋" w:hAnsi="仿宋" w:eastAsia="仿宋" w:cs="仿宋"/>
          <w:kern w:val="0"/>
          <w:sz w:val="32"/>
          <w:szCs w:val="32"/>
        </w:rPr>
        <w:t>日</w:t>
      </w:r>
    </w:p>
    <w:p w14:paraId="013DC0B1">
      <w:pPr>
        <w:spacing w:line="500" w:lineRule="exact"/>
        <w:rPr>
          <w:rFonts w:hint="eastAsia" w:ascii="仿宋" w:hAnsi="仿宋" w:eastAsia="仿宋" w:cs="仿宋"/>
          <w:kern w:val="0"/>
          <w:sz w:val="32"/>
          <w:szCs w:val="32"/>
        </w:rPr>
      </w:pPr>
    </w:p>
    <w:p w14:paraId="44F91186">
      <w:pPr>
        <w:tabs>
          <w:tab w:val="left" w:pos="259"/>
        </w:tabs>
        <w:bidi w:val="0"/>
        <w:ind w:left="0" w:leftChars="0" w:firstLine="0" w:firstLineChars="0"/>
        <w:jc w:val="left"/>
        <w:rPr>
          <w:rFonts w:hint="eastAsia" w:ascii="Arial" w:hAnsi="Arial" w:eastAsia="宋体" w:cs="Arial"/>
          <w:snapToGrid w:val="0"/>
          <w:color w:val="000000"/>
          <w:sz w:val="28"/>
          <w:szCs w:val="21"/>
          <w:lang w:val="en-US" w:eastAsia="zh-CN" w:bidi="ar-SA"/>
        </w:rPr>
      </w:pPr>
    </w:p>
    <w:p w14:paraId="73661E66">
      <w:pPr>
        <w:tabs>
          <w:tab w:val="left" w:pos="259"/>
        </w:tabs>
        <w:bidi w:val="0"/>
        <w:ind w:left="0" w:leftChars="0" w:firstLine="0" w:firstLineChars="0"/>
        <w:jc w:val="left"/>
        <w:rPr>
          <w:rFonts w:hint="eastAsia" w:ascii="Arial" w:hAnsi="Arial" w:eastAsia="宋体" w:cs="Arial"/>
          <w:snapToGrid w:val="0"/>
          <w:color w:val="000000"/>
          <w:sz w:val="28"/>
          <w:szCs w:val="21"/>
          <w:lang w:val="en-US" w:eastAsia="zh-CN" w:bidi="ar-SA"/>
        </w:rPr>
      </w:pPr>
    </w:p>
    <w:p w14:paraId="285496E8">
      <w:pPr>
        <w:spacing w:line="500" w:lineRule="exact"/>
        <w:ind w:firstLine="280" w:firstLineChars="100"/>
        <w:rPr>
          <w:rFonts w:hint="eastAsia" w:ascii="宋体" w:hAnsi="宋体" w:eastAsia="宋体" w:cs="宋体"/>
          <w:b/>
          <w:bCs/>
          <w:kern w:val="0"/>
          <w:sz w:val="36"/>
          <w:szCs w:val="36"/>
        </w:rPr>
      </w:pPr>
      <w:r>
        <w:rPr>
          <w:rFonts w:hint="eastAsia" w:ascii="仿宋" w:hAnsi="仿宋" w:eastAsia="仿宋"/>
          <w:sz w:val="28"/>
          <w:szCs w:val="28"/>
        </w:rP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334645</wp:posOffset>
                </wp:positionV>
                <wp:extent cx="5372100" cy="635"/>
                <wp:effectExtent l="0" t="0" r="0" b="0"/>
                <wp:wrapNone/>
                <wp:docPr id="5" name="Line 3"/>
                <wp:cNvGraphicFramePr/>
                <a:graphic xmlns:a="http://schemas.openxmlformats.org/drawingml/2006/main">
                  <a:graphicData uri="http://schemas.microsoft.com/office/word/2010/wordprocessingShape">
                    <wps:wsp>
                      <wps:cNvCnPr/>
                      <wps:spPr>
                        <a:xfrm>
                          <a:off x="0" y="0"/>
                          <a:ext cx="537210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3" o:spid="_x0000_s1026" o:spt="20" style="position:absolute;left:0pt;margin-left:-1.5pt;margin-top:26.35pt;height:0.05pt;width:423pt;z-index:251660288;mso-width-relative:page;mso-height-relative:page;" filled="f" stroked="t" coordsize="21600,21600" o:gfxdata="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naBPgtYAAAAIAQAADwAAAAAA&#10;AAABACAAAAAiAAAAZHJzL2Rvd25yZXYueG1sUEsBAhQAFAAAAAgAh07iQFy/CqfcAQAA2wMAAA4A&#10;AAAAAAAAAQAgAAAAJQEAAGRycy9lMm9Eb2MueG1sUEsFBgAAAAAGAAYAWQEAAHMFAAAAAA==&#10;">
                <v:fill on="f" focussize="0,0"/>
                <v:stroke color="#000000" joinstyle="round"/>
                <v:imagedata o:title=""/>
                <o:lock v:ext="edit" aspectratio="f"/>
              </v:line>
            </w:pict>
          </mc:Fallback>
        </mc:AlternateContent>
      </w:r>
      <w:r>
        <w:rPr>
          <w:rFonts w:hint="eastAsia" w:ascii="仿宋" w:hAnsi="仿宋" w:eastAsia="仿宋"/>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5372100" cy="0"/>
                <wp:effectExtent l="0" t="4445" r="0" b="5080"/>
                <wp:wrapNone/>
                <wp:docPr id="6" name="Line 2"/>
                <wp:cNvGraphicFramePr/>
                <a:graphic xmlns:a="http://schemas.openxmlformats.org/drawingml/2006/main">
                  <a:graphicData uri="http://schemas.microsoft.com/office/word/2010/wordprocessingShape">
                    <wps:wsp>
                      <wps:cNvCnPr/>
                      <wps:spPr>
                        <a:xfrm>
                          <a:off x="0" y="0"/>
                          <a:ext cx="53721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2" o:spid="_x0000_s1026" o:spt="20" style="position:absolute;left:0pt;margin-left:0pt;margin-top:0pt;height:0pt;width:423pt;z-index:251661312;mso-width-relative:page;mso-height-relative:page;" filled="f" stroked="t" coordsize="21600,21600" o:gfxdata="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DzPkr0AAAAAIBAAAPAAAAAAAAAAEAIAAA&#10;ACIAAABkcnMvZG93bnJldi54bWxQSwECFAAUAAAACACHTuJAt/naktsBAADZAwAADgAAAAAAAAAB&#10;ACAAAAAfAQAAZHJzL2Uyb0RvYy54bWxQSwUGAAAAAAYABgBZAQAAbAUAAAAA&#10;">
                <v:fill on="f" focussize="0,0"/>
                <v:stroke color="#000000" joinstyle="round"/>
                <v:imagedata o:title=""/>
                <o:lock v:ext="edit" aspectratio="f"/>
              </v:line>
            </w:pict>
          </mc:Fallback>
        </mc:AlternateContent>
      </w:r>
      <w:r>
        <w:rPr>
          <w:rFonts w:hint="eastAsia" w:ascii="仿宋" w:hAnsi="仿宋" w:eastAsia="仿宋"/>
          <w:sz w:val="28"/>
          <w:szCs w:val="28"/>
        </w:rPr>
        <w:t xml:space="preserve">皖江工学院院务部              </w:t>
      </w:r>
      <w:r>
        <w:rPr>
          <w:rFonts w:hint="eastAsia" w:ascii="仿宋" w:hAnsi="仿宋" w:eastAsia="仿宋"/>
          <w:sz w:val="28"/>
          <w:szCs w:val="28"/>
          <w:lang w:val="en-US" w:eastAsia="zh-CN"/>
        </w:rPr>
        <w:t xml:space="preserve"> </w:t>
      </w:r>
      <w:r>
        <w:rPr>
          <w:rFonts w:hint="eastAsia" w:ascii="仿宋" w:hAnsi="仿宋" w:eastAsia="仿宋"/>
          <w:sz w:val="28"/>
          <w:szCs w:val="28"/>
        </w:rPr>
        <w:t xml:space="preserve">    </w:t>
      </w:r>
      <w:r>
        <w:rPr>
          <w:rFonts w:hint="eastAsia" w:ascii="仿宋" w:hAnsi="仿宋" w:eastAsia="仿宋"/>
          <w:sz w:val="28"/>
          <w:szCs w:val="28"/>
          <w:lang w:val="en-US" w:eastAsia="zh-CN"/>
        </w:rPr>
        <w:t xml:space="preserve"> </w:t>
      </w:r>
      <w:r>
        <w:rPr>
          <w:rFonts w:hint="eastAsia" w:ascii="仿宋" w:hAnsi="仿宋" w:eastAsia="仿宋"/>
          <w:sz w:val="28"/>
          <w:szCs w:val="28"/>
        </w:rPr>
        <w:t xml:space="preserve"> </w:t>
      </w:r>
      <w:r>
        <w:rPr>
          <w:rFonts w:hint="eastAsia" w:ascii="仿宋" w:hAnsi="仿宋" w:eastAsia="仿宋"/>
          <w:sz w:val="28"/>
          <w:szCs w:val="28"/>
          <w:lang w:val="en-US" w:eastAsia="zh-CN"/>
        </w:rPr>
        <w:t xml:space="preserve">  </w:t>
      </w:r>
      <w:r>
        <w:rPr>
          <w:rFonts w:hint="eastAsia" w:ascii="仿宋" w:hAnsi="仿宋" w:eastAsia="仿宋"/>
          <w:sz w:val="28"/>
          <w:szCs w:val="28"/>
        </w:rPr>
        <w:t>202</w:t>
      </w:r>
      <w:r>
        <w:rPr>
          <w:rFonts w:hint="eastAsia" w:ascii="仿宋" w:hAnsi="仿宋" w:eastAsia="仿宋"/>
          <w:sz w:val="28"/>
          <w:szCs w:val="28"/>
          <w:lang w:val="en-US" w:eastAsia="zh-CN"/>
        </w:rPr>
        <w:t>5</w:t>
      </w:r>
      <w:r>
        <w:rPr>
          <w:rFonts w:hint="eastAsia" w:ascii="仿宋" w:hAnsi="仿宋" w:eastAsia="仿宋"/>
          <w:sz w:val="28"/>
          <w:szCs w:val="28"/>
        </w:rPr>
        <w:t>年</w:t>
      </w:r>
      <w:r>
        <w:rPr>
          <w:rFonts w:hint="eastAsia" w:ascii="仿宋" w:hAnsi="仿宋" w:eastAsia="仿宋"/>
          <w:sz w:val="28"/>
          <w:szCs w:val="28"/>
          <w:lang w:val="en-US" w:eastAsia="zh-CN"/>
        </w:rPr>
        <w:t>1</w:t>
      </w:r>
      <w:r>
        <w:rPr>
          <w:rFonts w:hint="eastAsia" w:ascii="仿宋" w:hAnsi="仿宋" w:eastAsia="仿宋"/>
          <w:sz w:val="28"/>
          <w:szCs w:val="28"/>
        </w:rPr>
        <w:t>月</w:t>
      </w:r>
      <w:r>
        <w:rPr>
          <w:rFonts w:hint="eastAsia" w:ascii="仿宋" w:hAnsi="仿宋" w:eastAsia="仿宋"/>
          <w:sz w:val="28"/>
          <w:szCs w:val="28"/>
          <w:lang w:val="en-US" w:eastAsia="zh-CN"/>
        </w:rPr>
        <w:t>3</w:t>
      </w:r>
      <w:r>
        <w:rPr>
          <w:rFonts w:hint="eastAsia" w:ascii="仿宋" w:hAnsi="仿宋" w:eastAsia="仿宋"/>
          <w:sz w:val="28"/>
          <w:szCs w:val="28"/>
        </w:rPr>
        <w:t>日印发</w:t>
      </w:r>
    </w:p>
    <w:p w14:paraId="6EFDAEAC">
      <w:pPr>
        <w:bidi w:val="0"/>
        <w:jc w:val="left"/>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附件</w:t>
      </w:r>
    </w:p>
    <w:p w14:paraId="661AC2FF">
      <w:pPr>
        <w:bidi w:val="0"/>
        <w:jc w:val="center"/>
        <w:rPr>
          <w:rFonts w:hint="eastAsia" w:ascii="宋体" w:hAnsi="宋体" w:eastAsia="宋体" w:cs="宋体"/>
          <w:b/>
          <w:bCs/>
          <w:sz w:val="44"/>
          <w:szCs w:val="44"/>
        </w:rPr>
      </w:pPr>
      <w:r>
        <w:rPr>
          <w:rFonts w:hint="eastAsia" w:ascii="宋体" w:hAnsi="宋体" w:eastAsia="宋体" w:cs="宋体"/>
          <w:b/>
          <w:bCs/>
          <w:sz w:val="44"/>
          <w:szCs w:val="44"/>
        </w:rPr>
        <w:t>皖江工学院学科竞赛管理办法（修订）</w:t>
      </w:r>
    </w:p>
    <w:p w14:paraId="711269A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黑体" w:hAnsi="黑体" w:eastAsia="黑体" w:cs="宋体"/>
          <w:b w:val="0"/>
          <w:bCs w:val="0"/>
          <w:color w:val="000000"/>
          <w:kern w:val="0"/>
          <w:sz w:val="32"/>
          <w:szCs w:val="32"/>
        </w:rPr>
      </w:pPr>
      <w:bookmarkStart w:id="2" w:name="_GoBack"/>
      <w:bookmarkEnd w:id="2"/>
    </w:p>
    <w:p w14:paraId="2BB79C6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val="0"/>
          <w:kern w:val="0"/>
          <w:sz w:val="32"/>
          <w:szCs w:val="32"/>
        </w:rPr>
      </w:pPr>
      <w:r>
        <w:rPr>
          <w:rFonts w:hint="eastAsia" w:ascii="黑体" w:hAnsi="黑体" w:eastAsia="黑体" w:cs="宋体"/>
          <w:b w:val="0"/>
          <w:bCs w:val="0"/>
          <w:color w:val="000000"/>
          <w:kern w:val="0"/>
          <w:sz w:val="32"/>
          <w:szCs w:val="32"/>
        </w:rPr>
        <w:t>第一章 总 则</w:t>
      </w:r>
    </w:p>
    <w:p w14:paraId="3DF73D15">
      <w:pPr>
        <w:keepNext w:val="0"/>
        <w:keepLines w:val="0"/>
        <w:pageBreakBefore w:val="0"/>
        <w:widowControl/>
        <w:kinsoku/>
        <w:wordWrap/>
        <w:overflowPunct/>
        <w:topLinePunct w:val="0"/>
        <w:autoSpaceDE/>
        <w:autoSpaceDN/>
        <w:bidi w:val="0"/>
        <w:adjustRightInd/>
        <w:snapToGrid/>
        <w:spacing w:beforeAutospacing="0" w:line="300" w:lineRule="auto"/>
        <w:ind w:firstLine="641"/>
        <w:jc w:val="left"/>
        <w:textAlignment w:val="auto"/>
        <w:rPr>
          <w:rFonts w:hint="eastAsia" w:ascii="仿宋" w:hAnsi="仿宋" w:eastAsia="仿宋" w:cs="宋体"/>
          <w:kern w:val="0"/>
          <w:sz w:val="32"/>
          <w:szCs w:val="32"/>
        </w:rPr>
      </w:pPr>
      <w:r>
        <w:rPr>
          <w:rFonts w:hint="eastAsia" w:ascii="仿宋" w:hAnsi="仿宋" w:eastAsia="仿宋" w:cs="宋体"/>
          <w:b/>
          <w:bCs/>
          <w:kern w:val="0"/>
          <w:sz w:val="32"/>
          <w:szCs w:val="32"/>
        </w:rPr>
        <w:t>第一条</w:t>
      </w:r>
      <w:r>
        <w:rPr>
          <w:rFonts w:hint="eastAsia" w:ascii="仿宋" w:hAnsi="仿宋" w:eastAsia="仿宋" w:cs="宋体"/>
          <w:b/>
          <w:bCs/>
          <w:kern w:val="0"/>
          <w:sz w:val="32"/>
          <w:szCs w:val="32"/>
          <w:lang w:val="en-US" w:eastAsia="zh-CN"/>
        </w:rPr>
        <w:t xml:space="preserve"> </w:t>
      </w:r>
      <w:r>
        <w:rPr>
          <w:rFonts w:hint="eastAsia" w:ascii="Calibri" w:hAnsi="Calibri" w:eastAsia="仿宋" w:cs="Calibri"/>
          <w:kern w:val="0"/>
          <w:sz w:val="32"/>
          <w:szCs w:val="32"/>
        </w:rPr>
        <w:t>学科竞赛是学校学科建设的重要内容，是推进科教融合、培养学生创新创业能力的重要抓手，是构筑德智体美劳“五位一体”高水平人才培养体系的重要举措，是落实“立德树人”根本任务的重要平台，</w:t>
      </w:r>
      <w:r>
        <w:rPr>
          <w:rFonts w:hint="eastAsia" w:ascii="仿宋" w:hAnsi="仿宋" w:eastAsia="仿宋" w:cs="宋体"/>
          <w:kern w:val="0"/>
          <w:sz w:val="32"/>
          <w:szCs w:val="32"/>
        </w:rPr>
        <w:t>也是培养学生创新精神、协作精神、竞争意识、实践能力的重要途径，为激励本科学生主动学习、拓展知识面，鼓励全校师生积极参加学科竞赛，促进学科竞赛高质量发展，同时为进一步规范学科竞赛的组织管理，结合我校教学实际，特制定本办法。</w:t>
      </w:r>
    </w:p>
    <w:p w14:paraId="50EF3488">
      <w:pPr>
        <w:ind w:firstLine="643" w:firstLineChars="200"/>
        <w:rPr>
          <w:rFonts w:ascii="Calibri" w:hAnsi="Calibri" w:eastAsia="仿宋" w:cs="Calibri"/>
          <w:color w:val="000000" w:themeColor="text1"/>
          <w:kern w:val="0"/>
          <w:sz w:val="32"/>
          <w:szCs w:val="32"/>
          <w14:textFill>
            <w14:solidFill>
              <w14:schemeClr w14:val="tx1"/>
            </w14:solidFill>
          </w14:textFill>
        </w:rPr>
      </w:pPr>
      <w:r>
        <w:rPr>
          <w:rFonts w:hint="eastAsia" w:ascii="仿宋" w:hAnsi="仿宋" w:eastAsia="仿宋" w:cs="宋体"/>
          <w:b/>
          <w:bCs/>
          <w:kern w:val="0"/>
          <w:sz w:val="32"/>
          <w:szCs w:val="32"/>
        </w:rPr>
        <w:t>第二条</w:t>
      </w:r>
      <w:r>
        <w:rPr>
          <w:rFonts w:hint="eastAsia" w:ascii="仿宋" w:hAnsi="仿宋" w:eastAsia="仿宋" w:cs="宋体"/>
          <w:b/>
          <w:bCs/>
          <w:kern w:val="0"/>
          <w:sz w:val="32"/>
          <w:szCs w:val="32"/>
          <w:lang w:val="en-US" w:eastAsia="zh-CN"/>
        </w:rPr>
        <w:t xml:space="preserve"> </w:t>
      </w:r>
      <w:r>
        <w:rPr>
          <w:rFonts w:hint="eastAsia" w:ascii="仿宋" w:hAnsi="仿宋" w:eastAsia="仿宋" w:cs="宋体"/>
          <w:kern w:val="0"/>
          <w:sz w:val="32"/>
          <w:szCs w:val="32"/>
        </w:rPr>
        <w:t>积极探索构建科学的学科竞赛项目校院两级实施体系，分类分层组织引导大学生参与学科竞赛，学校重点支持国际性或全国性、学界业界影响力大、对人才培养及学科专业建设有重要作用的学科竞赛；</w:t>
      </w:r>
      <w:r>
        <w:rPr>
          <w:rFonts w:hint="eastAsia" w:ascii="仿宋" w:hAnsi="仿宋" w:eastAsia="仿宋" w:cs="宋体"/>
          <w:color w:val="000000" w:themeColor="text1"/>
          <w:kern w:val="0"/>
          <w:sz w:val="32"/>
          <w:szCs w:val="32"/>
          <w14:textFill>
            <w14:solidFill>
              <w14:schemeClr w14:val="tx1"/>
            </w14:solidFill>
          </w14:textFill>
        </w:rPr>
        <w:t>优先支持专业受益面大、学生参与面</w:t>
      </w:r>
      <w:r>
        <w:rPr>
          <w:rFonts w:hint="eastAsia" w:ascii="Calibri" w:hAnsi="Calibri" w:eastAsia="仿宋" w:cs="Calibri"/>
          <w:color w:val="000000" w:themeColor="text1"/>
          <w:kern w:val="0"/>
          <w:sz w:val="32"/>
          <w:szCs w:val="32"/>
          <w14:textFill>
            <w14:solidFill>
              <w14:schemeClr w14:val="tx1"/>
            </w14:solidFill>
          </w14:textFill>
        </w:rPr>
        <w:t>广、综合性强、连续打造的品牌项目。</w:t>
      </w:r>
    </w:p>
    <w:p w14:paraId="564C837D">
      <w:pPr>
        <w:ind w:firstLine="643" w:firstLineChars="200"/>
        <w:rPr>
          <w:rFonts w:hint="eastAsia" w:ascii="宋体" w:hAnsi="宋体" w:eastAsia="宋体" w:cs="宋体"/>
          <w:kern w:val="0"/>
          <w:sz w:val="24"/>
          <w:szCs w:val="24"/>
        </w:rPr>
      </w:pPr>
      <w:r>
        <w:rPr>
          <w:rFonts w:hint="eastAsia" w:ascii="仿宋" w:hAnsi="仿宋" w:eastAsia="仿宋" w:cs="宋体"/>
          <w:b/>
          <w:bCs/>
          <w:kern w:val="0"/>
          <w:sz w:val="32"/>
          <w:szCs w:val="32"/>
        </w:rPr>
        <w:t xml:space="preserve">第三条 </w:t>
      </w:r>
      <w:r>
        <w:rPr>
          <w:rFonts w:hint="eastAsia" w:ascii="Calibri" w:hAnsi="Calibri" w:eastAsia="仿宋" w:cs="Calibri"/>
          <w:kern w:val="0"/>
          <w:sz w:val="32"/>
          <w:szCs w:val="32"/>
        </w:rPr>
        <w:t>学科竞赛参赛对象为学校全日制本科生，鼓励不同专业的学生以学科、专业交叉形式组建竞赛团队；鼓励教师积极开展竞赛指导工作，鼓励各二级学院围绕学科专业应用领域及社会需求，组织开展学科竞赛活动。</w:t>
      </w:r>
    </w:p>
    <w:p w14:paraId="505D369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黑体" w:hAnsi="黑体" w:eastAsia="黑体" w:cs="宋体"/>
          <w:b w:val="0"/>
          <w:bCs w:val="0"/>
          <w:color w:val="000000"/>
          <w:kern w:val="0"/>
          <w:sz w:val="32"/>
          <w:szCs w:val="32"/>
        </w:rPr>
      </w:pPr>
      <w:r>
        <w:rPr>
          <w:rFonts w:hint="eastAsia" w:ascii="黑体" w:hAnsi="黑体" w:eastAsia="黑体" w:cs="宋体"/>
          <w:b w:val="0"/>
          <w:bCs w:val="0"/>
          <w:color w:val="000000"/>
          <w:kern w:val="0"/>
          <w:sz w:val="32"/>
          <w:szCs w:val="32"/>
        </w:rPr>
        <w:t>第二章 竞赛分类与认定</w:t>
      </w:r>
    </w:p>
    <w:p w14:paraId="23041314">
      <w:pPr>
        <w:ind w:firstLine="643" w:firstLineChars="200"/>
        <w:rPr>
          <w:rFonts w:ascii="Calibri" w:hAnsi="Calibri" w:eastAsia="仿宋" w:cs="Calibri"/>
          <w:kern w:val="0"/>
          <w:sz w:val="32"/>
          <w:szCs w:val="32"/>
        </w:rPr>
      </w:pPr>
      <w:r>
        <w:rPr>
          <w:rFonts w:hint="eastAsia" w:ascii="仿宋" w:hAnsi="仿宋" w:eastAsia="仿宋" w:cs="宋体"/>
          <w:b/>
          <w:bCs/>
          <w:kern w:val="0"/>
          <w:sz w:val="32"/>
          <w:szCs w:val="32"/>
        </w:rPr>
        <w:t>第四条</w:t>
      </w:r>
      <w:r>
        <w:rPr>
          <w:rFonts w:hint="eastAsia"/>
        </w:rPr>
        <w:t xml:space="preserve"> </w:t>
      </w:r>
      <w:r>
        <w:rPr>
          <w:rFonts w:hint="eastAsia" w:ascii="Calibri" w:hAnsi="Calibri" w:eastAsia="仿宋" w:cs="Calibri"/>
          <w:kern w:val="0"/>
          <w:sz w:val="32"/>
          <w:szCs w:val="32"/>
        </w:rPr>
        <w:t>竞赛的分类</w:t>
      </w:r>
    </w:p>
    <w:p w14:paraId="6E5CA008">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Calibri" w:hAnsi="Calibri" w:eastAsia="仿宋" w:cs="Calibri"/>
          <w:kern w:val="0"/>
          <w:sz w:val="32"/>
          <w:szCs w:val="32"/>
        </w:rPr>
      </w:pPr>
      <w:r>
        <w:rPr>
          <w:rFonts w:hint="eastAsia" w:ascii="楷体" w:hAnsi="楷体" w:eastAsia="楷体" w:cs="楷体"/>
          <w:kern w:val="0"/>
          <w:sz w:val="32"/>
          <w:szCs w:val="32"/>
        </w:rPr>
        <w:t>（一）A类赛事：</w:t>
      </w:r>
      <w:r>
        <w:rPr>
          <w:rFonts w:hint="eastAsia" w:ascii="Calibri" w:hAnsi="Calibri" w:eastAsia="仿宋" w:cs="Calibri"/>
          <w:kern w:val="0"/>
          <w:sz w:val="32"/>
          <w:szCs w:val="32"/>
        </w:rPr>
        <w:t>教育部举办的国家级竞赛项目（教育部、财政部“质量工程”项目支持）；省教育厅认定和批准的其他国家级或国际重大赛事。</w:t>
      </w:r>
    </w:p>
    <w:p w14:paraId="727454D4">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Calibri" w:hAnsi="Calibri" w:eastAsia="仿宋" w:cs="Calibri"/>
          <w:color w:val="FF0000"/>
          <w:kern w:val="0"/>
          <w:sz w:val="32"/>
          <w:szCs w:val="32"/>
        </w:rPr>
      </w:pPr>
      <w:r>
        <w:rPr>
          <w:rFonts w:hint="eastAsia" w:ascii="楷体" w:hAnsi="楷体" w:eastAsia="楷体" w:cs="楷体"/>
          <w:kern w:val="0"/>
          <w:sz w:val="32"/>
          <w:szCs w:val="32"/>
        </w:rPr>
        <w:t>（二）B类赛事：</w:t>
      </w:r>
      <w:r>
        <w:rPr>
          <w:rFonts w:hint="eastAsia" w:ascii="Calibri" w:hAnsi="Calibri" w:eastAsia="仿宋" w:cs="Calibri"/>
          <w:kern w:val="0"/>
          <w:sz w:val="32"/>
          <w:szCs w:val="32"/>
        </w:rPr>
        <w:t>教育部专业教学指导委员会主办的全国性赛事；全国一级学科学会（协会）主办的全国性赛事；安徽省级政府部门（省科技厅、省团委、省财政厅、省人力资源和社会保障厅、省经济和信息化委员会等）举办的全省性或跨省区的赛事；以及省教育厅参与举办的其他重要省级赛事；或参加</w:t>
      </w:r>
      <w:r>
        <w:rPr>
          <w:rFonts w:hint="eastAsia" w:ascii="Calibri" w:hAnsi="Calibri" w:eastAsia="仿宋" w:cs="Calibri"/>
          <w:color w:val="000000" w:themeColor="text1"/>
          <w:kern w:val="0"/>
          <w:sz w:val="32"/>
          <w:szCs w:val="32"/>
          <w14:textFill>
            <w14:solidFill>
              <w14:schemeClr w14:val="tx1"/>
            </w14:solidFill>
          </w14:textFill>
        </w:rPr>
        <w:t>A类赛事的省级赛区赛或大区赛。</w:t>
      </w:r>
    </w:p>
    <w:p w14:paraId="68CD2A3E">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Calibri" w:hAnsi="Calibri" w:eastAsia="仿宋" w:cs="Calibri"/>
          <w:color w:val="FF0000"/>
          <w:kern w:val="0"/>
          <w:sz w:val="32"/>
          <w:szCs w:val="32"/>
        </w:rPr>
      </w:pPr>
      <w:r>
        <w:rPr>
          <w:rFonts w:hint="eastAsia" w:ascii="楷体" w:hAnsi="楷体" w:eastAsia="楷体" w:cs="楷体"/>
          <w:kern w:val="0"/>
          <w:sz w:val="32"/>
          <w:szCs w:val="32"/>
        </w:rPr>
        <w:t>（三）C类赛事：</w:t>
      </w:r>
      <w:r>
        <w:rPr>
          <w:rFonts w:hint="eastAsia" w:ascii="Calibri" w:hAnsi="Calibri" w:eastAsia="仿宋" w:cs="Calibri"/>
          <w:kern w:val="0"/>
          <w:sz w:val="32"/>
          <w:szCs w:val="32"/>
        </w:rPr>
        <w:t>A、B类竞赛以外的（不含校级各类学科和技能竞赛）其他大学生学科和技能竞赛。</w:t>
      </w:r>
    </w:p>
    <w:p w14:paraId="3593E7E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alibri" w:hAnsi="Calibri" w:eastAsia="仿宋" w:cs="Calibri"/>
          <w:color w:val="000000" w:themeColor="text1"/>
          <w:kern w:val="0"/>
          <w:sz w:val="32"/>
          <w:szCs w:val="32"/>
          <w14:textFill>
            <w14:solidFill>
              <w14:schemeClr w14:val="tx1"/>
            </w14:solidFill>
          </w14:textFill>
        </w:rPr>
      </w:pPr>
      <w:r>
        <w:rPr>
          <w:rFonts w:hint="eastAsia" w:ascii="楷体" w:hAnsi="楷体" w:eastAsia="楷体" w:cs="楷体"/>
          <w:kern w:val="0"/>
          <w:sz w:val="32"/>
          <w:szCs w:val="32"/>
        </w:rPr>
        <w:t>（四）</w:t>
      </w:r>
      <w:r>
        <w:rPr>
          <w:rFonts w:hint="eastAsia" w:ascii="Calibri" w:hAnsi="Calibri" w:eastAsia="仿宋" w:cs="Calibri"/>
          <w:color w:val="000000" w:themeColor="text1"/>
          <w:kern w:val="0"/>
          <w:sz w:val="32"/>
          <w:szCs w:val="32"/>
          <w14:textFill>
            <w14:solidFill>
              <w14:schemeClr w14:val="tx1"/>
            </w14:solidFill>
          </w14:textFill>
        </w:rPr>
        <w:t>除B类赛事中特别说明含省赛的情况，其他参加B类赛事的省级赛区赛或区域赛认定为C类。</w:t>
      </w:r>
    </w:p>
    <w:p w14:paraId="2258BC9A">
      <w:pPr>
        <w:keepNext w:val="0"/>
        <w:keepLines w:val="0"/>
        <w:pageBreakBefore w:val="0"/>
        <w:widowControl w:val="0"/>
        <w:kinsoku/>
        <w:wordWrap/>
        <w:overflowPunct/>
        <w:topLinePunct w:val="0"/>
        <w:autoSpaceDE/>
        <w:autoSpaceDN/>
        <w:bidi w:val="0"/>
        <w:adjustRightInd/>
        <w:snapToGrid/>
        <w:ind w:firstLine="643" w:firstLineChars="200"/>
        <w:textAlignment w:val="auto"/>
        <w:rPr>
          <w:rFonts w:ascii="Calibri" w:hAnsi="Calibri" w:eastAsia="仿宋" w:cs="Calibri"/>
          <w:kern w:val="0"/>
          <w:sz w:val="32"/>
          <w:szCs w:val="32"/>
        </w:rPr>
      </w:pPr>
      <w:r>
        <w:rPr>
          <w:rFonts w:hint="eastAsia" w:ascii="仿宋" w:hAnsi="仿宋" w:eastAsia="仿宋" w:cs="宋体"/>
          <w:b/>
          <w:bCs/>
          <w:kern w:val="0"/>
          <w:sz w:val="32"/>
          <w:szCs w:val="32"/>
        </w:rPr>
        <w:t>第五条</w:t>
      </w:r>
      <w:r>
        <w:rPr>
          <w:rFonts w:hint="eastAsia"/>
        </w:rPr>
        <w:t xml:space="preserve"> </w:t>
      </w:r>
      <w:r>
        <w:rPr>
          <w:rFonts w:hint="eastAsia" w:ascii="Calibri" w:hAnsi="Calibri" w:eastAsia="仿宋" w:cs="Calibri"/>
          <w:kern w:val="0"/>
          <w:sz w:val="32"/>
          <w:szCs w:val="32"/>
        </w:rPr>
        <w:t>竞赛的认定</w:t>
      </w:r>
    </w:p>
    <w:p w14:paraId="6CC033B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宋体"/>
          <w:kern w:val="0"/>
          <w:sz w:val="32"/>
          <w:szCs w:val="32"/>
        </w:rPr>
      </w:pPr>
      <w:r>
        <w:rPr>
          <w:rFonts w:hint="eastAsia" w:ascii="楷体" w:hAnsi="楷体" w:eastAsia="楷体" w:cs="楷体"/>
          <w:kern w:val="0"/>
          <w:sz w:val="32"/>
          <w:szCs w:val="32"/>
        </w:rPr>
        <w:t>（一）</w:t>
      </w:r>
      <w:r>
        <w:rPr>
          <w:rFonts w:hint="eastAsia" w:ascii="仿宋" w:hAnsi="仿宋" w:eastAsia="仿宋" w:cs="宋体"/>
          <w:kern w:val="0"/>
          <w:sz w:val="32"/>
          <w:szCs w:val="32"/>
        </w:rPr>
        <w:t>竞赛类别及竞赛级别参照中国高等教育学会《全国普通高校学科竞赛排行榜》当年发布认定的学科竞赛排名以及安徽省教育厅公布的最新的A、B类比赛项目清单。</w:t>
      </w:r>
    </w:p>
    <w:p w14:paraId="65A4E26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宋体"/>
          <w:kern w:val="0"/>
          <w:sz w:val="32"/>
          <w:szCs w:val="32"/>
        </w:rPr>
      </w:pPr>
      <w:r>
        <w:rPr>
          <w:rFonts w:hint="eastAsia" w:ascii="楷体" w:hAnsi="楷体" w:eastAsia="楷体" w:cs="楷体"/>
          <w:kern w:val="0"/>
          <w:sz w:val="32"/>
          <w:szCs w:val="32"/>
        </w:rPr>
        <w:t>（二）</w:t>
      </w:r>
      <w:r>
        <w:rPr>
          <w:rFonts w:hint="eastAsia" w:ascii="仿宋" w:hAnsi="仿宋" w:eastAsia="仿宋" w:cs="宋体"/>
          <w:kern w:val="0"/>
          <w:sz w:val="32"/>
          <w:szCs w:val="32"/>
        </w:rPr>
        <w:t>新增学科竞赛项目的级别和类别，由相应学院（部门）向教务部提交新增学科竞赛项目级别和类别认定申请，并提供相关支撑材料。多个学院共同申请的学科竞赛项目，学校按照竞赛的学科专业背景和竞赛组织特征，指定竞赛管理归口学院（部门）。</w:t>
      </w:r>
    </w:p>
    <w:p w14:paraId="3C6CD4E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宋体"/>
          <w:kern w:val="0"/>
          <w:sz w:val="32"/>
          <w:szCs w:val="32"/>
        </w:rPr>
      </w:pPr>
      <w:r>
        <w:rPr>
          <w:rFonts w:hint="eastAsia" w:ascii="楷体" w:hAnsi="楷体" w:eastAsia="楷体" w:cs="楷体"/>
          <w:kern w:val="0"/>
          <w:sz w:val="32"/>
          <w:szCs w:val="32"/>
        </w:rPr>
        <w:t>（三）</w:t>
      </w:r>
      <w:r>
        <w:rPr>
          <w:rFonts w:hint="eastAsia" w:ascii="仿宋" w:hAnsi="仿宋" w:eastAsia="仿宋" w:cs="宋体"/>
          <w:kern w:val="0"/>
          <w:sz w:val="32"/>
          <w:szCs w:val="32"/>
        </w:rPr>
        <w:t>原有学科竞赛项目级别和类别的变更，由竞赛管理归口学院（部门）向教务部提交学科竞赛项目级别和类别变更申请，并提供有关竞赛规模、影响力变化等变更支撑材料。</w:t>
      </w:r>
    </w:p>
    <w:p w14:paraId="79D3603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宋体"/>
          <w:color w:val="000000" w:themeColor="text1"/>
          <w:kern w:val="0"/>
          <w:sz w:val="32"/>
          <w:szCs w:val="32"/>
          <w14:textFill>
            <w14:solidFill>
              <w14:schemeClr w14:val="tx1"/>
            </w14:solidFill>
          </w14:textFill>
        </w:rPr>
      </w:pPr>
      <w:r>
        <w:rPr>
          <w:rFonts w:hint="eastAsia" w:ascii="楷体" w:hAnsi="楷体" w:eastAsia="楷体" w:cs="楷体"/>
          <w:kern w:val="0"/>
          <w:sz w:val="32"/>
          <w:szCs w:val="32"/>
        </w:rPr>
        <w:t>（四）</w:t>
      </w:r>
      <w:r>
        <w:rPr>
          <w:rFonts w:hint="eastAsia" w:ascii="仿宋" w:hAnsi="仿宋" w:eastAsia="仿宋" w:cs="宋体"/>
          <w:kern w:val="0"/>
          <w:sz w:val="32"/>
          <w:szCs w:val="32"/>
        </w:rPr>
        <w:t>学校教务部负责建立“</w:t>
      </w:r>
      <w:r>
        <w:rPr>
          <w:rFonts w:hint="eastAsia" w:ascii="仿宋" w:hAnsi="仿宋" w:eastAsia="仿宋" w:cs="宋体"/>
          <w:color w:val="000000" w:themeColor="text1"/>
          <w:kern w:val="0"/>
          <w:sz w:val="32"/>
          <w:szCs w:val="32"/>
          <w14:textFill>
            <w14:solidFill>
              <w14:schemeClr w14:val="tx1"/>
            </w14:solidFill>
          </w14:textFill>
        </w:rPr>
        <w:t>学科竞赛项目库”，项目库根据第五条上述（一）（二）（三）款定期更新，更新内容需要经过</w:t>
      </w:r>
      <w:r>
        <w:rPr>
          <w:rFonts w:hint="eastAsia" w:ascii="Calibri" w:hAnsi="Calibri" w:eastAsia="仿宋" w:cs="Calibri"/>
          <w:color w:val="000000" w:themeColor="text1"/>
          <w:kern w:val="0"/>
          <w:sz w:val="32"/>
          <w:szCs w:val="32"/>
          <w14:textFill>
            <w14:solidFill>
              <w14:schemeClr w14:val="tx1"/>
            </w14:solidFill>
          </w14:textFill>
        </w:rPr>
        <w:t>学校教学工作委员会审定后入库，并在教务部网站下学科竞赛栏目中公布。</w:t>
      </w:r>
    </w:p>
    <w:p w14:paraId="3D1E3AD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黑体" w:hAnsi="黑体" w:eastAsia="黑体" w:cs="宋体"/>
          <w:b w:val="0"/>
          <w:bCs w:val="0"/>
          <w:color w:val="000000"/>
          <w:kern w:val="0"/>
          <w:sz w:val="32"/>
          <w:szCs w:val="32"/>
        </w:rPr>
      </w:pPr>
      <w:r>
        <w:rPr>
          <w:rFonts w:hint="eastAsia" w:ascii="黑体" w:hAnsi="黑体" w:eastAsia="黑体" w:cs="宋体"/>
          <w:b w:val="0"/>
          <w:bCs w:val="0"/>
          <w:color w:val="000000"/>
          <w:kern w:val="0"/>
          <w:sz w:val="32"/>
          <w:szCs w:val="32"/>
        </w:rPr>
        <w:t>第三章 竞赛组织与管理</w:t>
      </w:r>
    </w:p>
    <w:p w14:paraId="7F19D737">
      <w:pPr>
        <w:keepNext w:val="0"/>
        <w:keepLines w:val="0"/>
        <w:pageBreakBefore w:val="0"/>
        <w:widowControl/>
        <w:kinsoku/>
        <w:wordWrap/>
        <w:overflowPunct/>
        <w:topLinePunct w:val="0"/>
        <w:autoSpaceDE/>
        <w:autoSpaceDN/>
        <w:bidi w:val="0"/>
        <w:adjustRightInd/>
        <w:snapToGrid/>
        <w:spacing w:beforeAutospacing="0" w:line="300" w:lineRule="auto"/>
        <w:ind w:firstLine="641"/>
        <w:textAlignment w:val="auto"/>
        <w:rPr>
          <w:rFonts w:hint="eastAsia" w:ascii="仿宋" w:hAnsi="仿宋" w:eastAsia="仿宋" w:cs="宋体"/>
          <w:kern w:val="0"/>
          <w:sz w:val="32"/>
          <w:szCs w:val="32"/>
        </w:rPr>
      </w:pPr>
      <w:r>
        <w:rPr>
          <w:rFonts w:hint="eastAsia" w:ascii="仿宋" w:hAnsi="仿宋" w:eastAsia="仿宋" w:cs="宋体"/>
          <w:b/>
          <w:bCs/>
          <w:kern w:val="0"/>
          <w:sz w:val="32"/>
          <w:szCs w:val="32"/>
        </w:rPr>
        <w:t>第六条</w:t>
      </w:r>
      <w:r>
        <w:rPr>
          <w:rFonts w:hint="eastAsia" w:ascii="仿宋" w:hAnsi="仿宋" w:eastAsia="仿宋" w:cs="宋体"/>
          <w:b/>
          <w:bCs/>
          <w:kern w:val="0"/>
          <w:sz w:val="32"/>
          <w:szCs w:val="32"/>
          <w:lang w:val="en-US" w:eastAsia="zh-CN"/>
        </w:rPr>
        <w:t xml:space="preserve"> </w:t>
      </w:r>
      <w:r>
        <w:rPr>
          <w:rFonts w:hint="eastAsia" w:ascii="Calibri" w:hAnsi="Calibri" w:eastAsia="仿宋" w:cs="Calibri"/>
          <w:kern w:val="0"/>
          <w:sz w:val="32"/>
          <w:szCs w:val="32"/>
        </w:rPr>
        <w:t>大学生学科竞赛可分为：“三大赛”和普通赛事，“三大赛”包括“中国国际大学生创新大赛（原全国互联网+创新创业大赛）、“挑战杯”全国大学生课外学术科技作品竞赛和“挑战杯”全国大学生创业计划竞赛；普通赛事是除了“三大赛”以外的入库竞赛。大学生学科竞赛组织与管理工作关联教务部、创新与产业工程师学院、学工部、团委和学院等多个单位，原则上，“三大赛”中，“中国国际大学生创新大赛（原全国互联网+创新创业大赛）由创新与产业工程师学院全面组织，教务部和相关学院协同；“挑战杯”全国大学生课外学术科技作品竞赛和“挑战杯”全国大学生创业计划竞赛由校团委组织，学院协同；普通赛事由教务部组织，创新与产业工程师学院和学院共同配合，分工合作，</w:t>
      </w:r>
      <w:r>
        <w:rPr>
          <w:rFonts w:hint="eastAsia" w:ascii="仿宋" w:hAnsi="仿宋" w:eastAsia="仿宋" w:cs="宋体"/>
          <w:kern w:val="0"/>
          <w:sz w:val="32"/>
          <w:szCs w:val="32"/>
        </w:rPr>
        <w:t>促进竞赛管理工作的科学化、规范化和制度化，提升人才培养实效，产出丰富的创新成果。</w:t>
      </w:r>
    </w:p>
    <w:p w14:paraId="4E1CDA60">
      <w:pPr>
        <w:keepNext w:val="0"/>
        <w:keepLines w:val="0"/>
        <w:pageBreakBefore w:val="0"/>
        <w:widowControl/>
        <w:kinsoku/>
        <w:wordWrap/>
        <w:overflowPunct/>
        <w:topLinePunct w:val="0"/>
        <w:autoSpaceDE/>
        <w:autoSpaceDN/>
        <w:bidi w:val="0"/>
        <w:adjustRightInd/>
        <w:snapToGrid/>
        <w:spacing w:beforeAutospacing="0" w:line="300" w:lineRule="auto"/>
        <w:ind w:firstLine="641"/>
        <w:textAlignment w:val="auto"/>
        <w:rPr>
          <w:rFonts w:hint="eastAsia" w:ascii="楷体" w:hAnsi="楷体" w:eastAsia="楷体" w:cs="楷体"/>
          <w:kern w:val="0"/>
          <w:sz w:val="32"/>
          <w:szCs w:val="32"/>
        </w:rPr>
      </w:pPr>
      <w:r>
        <w:rPr>
          <w:rFonts w:hint="eastAsia" w:ascii="楷体" w:hAnsi="楷体" w:eastAsia="楷体" w:cs="楷体"/>
          <w:kern w:val="0"/>
          <w:sz w:val="32"/>
          <w:szCs w:val="32"/>
          <w:lang w:eastAsia="zh-CN"/>
        </w:rPr>
        <w:t>（一）</w:t>
      </w:r>
      <w:r>
        <w:rPr>
          <w:rFonts w:hint="eastAsia" w:ascii="楷体" w:hAnsi="楷体" w:eastAsia="楷体" w:cs="楷体"/>
          <w:kern w:val="0"/>
          <w:sz w:val="32"/>
          <w:szCs w:val="32"/>
        </w:rPr>
        <w:t>教务部主要职责</w:t>
      </w:r>
    </w:p>
    <w:p w14:paraId="43F26D3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宋体"/>
          <w:kern w:val="0"/>
          <w:sz w:val="32"/>
          <w:szCs w:val="32"/>
        </w:rPr>
      </w:pPr>
      <w:r>
        <w:rPr>
          <w:rFonts w:hint="eastAsia" w:ascii="仿宋" w:hAnsi="仿宋" w:eastAsia="仿宋" w:cs="宋体"/>
          <w:kern w:val="0"/>
          <w:sz w:val="32"/>
          <w:szCs w:val="32"/>
        </w:rPr>
        <w:t>（1）制定普通竞赛的相关政策、年度竞赛计划、年度经费预算；</w:t>
      </w:r>
    </w:p>
    <w:p w14:paraId="4654B6B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宋体"/>
          <w:kern w:val="0"/>
          <w:sz w:val="32"/>
          <w:szCs w:val="32"/>
        </w:rPr>
      </w:pPr>
      <w:r>
        <w:rPr>
          <w:rFonts w:hint="eastAsia" w:ascii="仿宋" w:hAnsi="仿宋" w:eastAsia="仿宋" w:cs="宋体"/>
          <w:kern w:val="0"/>
          <w:sz w:val="32"/>
          <w:szCs w:val="32"/>
        </w:rPr>
        <w:t>（2）组织普通竞赛各类学科竞赛申报和立项等工作；</w:t>
      </w:r>
    </w:p>
    <w:p w14:paraId="3AF34FB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宋体"/>
          <w:kern w:val="0"/>
          <w:sz w:val="32"/>
          <w:szCs w:val="32"/>
        </w:rPr>
      </w:pPr>
      <w:r>
        <w:rPr>
          <w:rFonts w:hint="eastAsia" w:ascii="仿宋" w:hAnsi="仿宋" w:eastAsia="仿宋" w:cs="宋体"/>
          <w:kern w:val="0"/>
          <w:sz w:val="32"/>
          <w:szCs w:val="32"/>
        </w:rPr>
        <w:t>（3）管理和维护普通竞赛项目库和归口承办单位认定；</w:t>
      </w:r>
    </w:p>
    <w:p w14:paraId="2347191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宋体"/>
          <w:kern w:val="0"/>
          <w:sz w:val="32"/>
          <w:szCs w:val="32"/>
        </w:rPr>
      </w:pPr>
      <w:r>
        <w:rPr>
          <w:rFonts w:hint="eastAsia" w:ascii="仿宋" w:hAnsi="仿宋" w:eastAsia="仿宋" w:cs="宋体"/>
          <w:kern w:val="0"/>
          <w:sz w:val="32"/>
          <w:szCs w:val="32"/>
        </w:rPr>
        <w:t>（4）负责普通竞赛与上级教育主管部门相关协调工作；</w:t>
      </w:r>
    </w:p>
    <w:p w14:paraId="799B7FB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宋体"/>
          <w:kern w:val="0"/>
          <w:sz w:val="32"/>
          <w:szCs w:val="32"/>
        </w:rPr>
      </w:pPr>
      <w:r>
        <w:rPr>
          <w:rFonts w:hint="eastAsia" w:ascii="仿宋" w:hAnsi="仿宋" w:eastAsia="仿宋" w:cs="宋体"/>
          <w:kern w:val="0"/>
          <w:sz w:val="32"/>
          <w:szCs w:val="32"/>
        </w:rPr>
        <w:t>（5）在普通竞赛过程的保障和条件建设上负责协调以及相关服务工作；</w:t>
      </w:r>
    </w:p>
    <w:p w14:paraId="5D7F9E4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宋体"/>
          <w:kern w:val="0"/>
          <w:sz w:val="32"/>
          <w:szCs w:val="32"/>
        </w:rPr>
      </w:pPr>
      <w:r>
        <w:rPr>
          <w:rFonts w:hint="eastAsia" w:ascii="仿宋" w:hAnsi="仿宋" w:eastAsia="仿宋" w:cs="宋体"/>
          <w:kern w:val="0"/>
          <w:sz w:val="32"/>
          <w:szCs w:val="32"/>
        </w:rPr>
        <w:t>（6）负责普通竞赛成果材料的归档、审核、奖补奖励、总结等工作。</w:t>
      </w:r>
    </w:p>
    <w:p w14:paraId="03E8852E">
      <w:pPr>
        <w:keepNext w:val="0"/>
        <w:keepLines w:val="0"/>
        <w:pageBreakBefore w:val="0"/>
        <w:widowControl/>
        <w:kinsoku/>
        <w:wordWrap/>
        <w:overflowPunct/>
        <w:topLinePunct w:val="0"/>
        <w:autoSpaceDE/>
        <w:autoSpaceDN/>
        <w:bidi w:val="0"/>
        <w:adjustRightInd/>
        <w:snapToGrid/>
        <w:spacing w:beforeAutospacing="0" w:line="300" w:lineRule="auto"/>
        <w:ind w:firstLine="641"/>
        <w:textAlignment w:val="auto"/>
        <w:rPr>
          <w:rFonts w:hint="eastAsia" w:ascii="楷体" w:hAnsi="楷体" w:eastAsia="楷体" w:cs="楷体"/>
          <w:kern w:val="0"/>
          <w:sz w:val="32"/>
          <w:szCs w:val="32"/>
          <w:lang w:eastAsia="zh-CN"/>
        </w:rPr>
      </w:pPr>
      <w:r>
        <w:rPr>
          <w:rFonts w:hint="eastAsia" w:ascii="楷体" w:hAnsi="楷体" w:eastAsia="楷体" w:cs="楷体"/>
          <w:kern w:val="0"/>
          <w:sz w:val="32"/>
          <w:szCs w:val="32"/>
          <w:lang w:eastAsia="zh-CN"/>
        </w:rPr>
        <w:t>（二）创新与产业工程师学院主要职责</w:t>
      </w:r>
    </w:p>
    <w:p w14:paraId="12BA7D7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宋体"/>
          <w:kern w:val="0"/>
          <w:sz w:val="32"/>
          <w:szCs w:val="32"/>
        </w:rPr>
      </w:pPr>
      <w:r>
        <w:rPr>
          <w:rFonts w:hint="eastAsia" w:ascii="仿宋" w:hAnsi="仿宋" w:eastAsia="仿宋" w:cs="宋体"/>
          <w:kern w:val="0"/>
          <w:sz w:val="32"/>
          <w:szCs w:val="32"/>
        </w:rPr>
        <w:t>（1）负责组织与管理“三大赛”中的</w:t>
      </w:r>
      <w:r>
        <w:rPr>
          <w:rFonts w:hint="eastAsia" w:ascii="Calibri" w:hAnsi="Calibri" w:eastAsia="仿宋" w:cs="Calibri"/>
          <w:kern w:val="0"/>
          <w:sz w:val="32"/>
          <w:szCs w:val="32"/>
        </w:rPr>
        <w:t>“中国国际大学生创新大赛（原全国互联网+创新创业大赛），包括总经费预算、项目挖掘、组织各学院报名、组织开展校赛选拔、组织参加省赛和国赛、负责参赛总结表彰和奖励等工作。</w:t>
      </w:r>
    </w:p>
    <w:p w14:paraId="52D6AD5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宋体"/>
          <w:kern w:val="0"/>
          <w:sz w:val="32"/>
          <w:szCs w:val="32"/>
        </w:rPr>
      </w:pPr>
      <w:r>
        <w:rPr>
          <w:rFonts w:hint="eastAsia" w:ascii="仿宋" w:hAnsi="仿宋" w:eastAsia="仿宋" w:cs="宋体"/>
          <w:kern w:val="0"/>
          <w:sz w:val="32"/>
          <w:szCs w:val="32"/>
        </w:rPr>
        <w:t>（2）负责接收带项目学生（团队）入驻创新与产业工程师学院，组织双创导师加强指导和带队参赛。承担“三大赛”或普通竞赛的学生（团队）可以提出申请，获批后入驻创新与产业工程师学院；根据竞赛需求，提供场地、设备、材料等相关支持保障。</w:t>
      </w:r>
    </w:p>
    <w:p w14:paraId="10C4B2E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宋体"/>
          <w:kern w:val="0"/>
          <w:sz w:val="32"/>
          <w:szCs w:val="32"/>
        </w:rPr>
      </w:pPr>
      <w:r>
        <w:rPr>
          <w:rFonts w:hint="eastAsia" w:ascii="仿宋" w:hAnsi="仿宋" w:eastAsia="仿宋" w:cs="宋体"/>
          <w:kern w:val="0"/>
          <w:sz w:val="32"/>
          <w:szCs w:val="32"/>
        </w:rPr>
        <w:t>（3）制定相关政策，促进学生积极参与创新活动。</w:t>
      </w:r>
    </w:p>
    <w:p w14:paraId="6511238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宋体"/>
          <w:kern w:val="0"/>
          <w:sz w:val="32"/>
          <w:szCs w:val="32"/>
        </w:rPr>
      </w:pPr>
      <w:r>
        <w:rPr>
          <w:rFonts w:hint="eastAsia" w:ascii="仿宋" w:hAnsi="仿宋" w:eastAsia="仿宋" w:cs="宋体"/>
          <w:kern w:val="0"/>
          <w:sz w:val="32"/>
          <w:szCs w:val="32"/>
        </w:rPr>
        <w:t>（</w:t>
      </w:r>
      <w:r>
        <w:rPr>
          <w:rFonts w:ascii="仿宋" w:hAnsi="仿宋" w:eastAsia="仿宋" w:cs="宋体"/>
          <w:kern w:val="0"/>
          <w:sz w:val="32"/>
          <w:szCs w:val="32"/>
        </w:rPr>
        <w:t>4</w:t>
      </w:r>
      <w:r>
        <w:rPr>
          <w:rFonts w:hint="eastAsia" w:ascii="仿宋" w:hAnsi="仿宋" w:eastAsia="仿宋" w:cs="宋体"/>
          <w:kern w:val="0"/>
          <w:sz w:val="32"/>
          <w:szCs w:val="32"/>
        </w:rPr>
        <w:t>）负责建立学科竞赛指导教师库，定期聘任一批有热情、有能力、有担当的教师作为学校“创新创业导师”，颁发证书，并常态化组织交流活动。</w:t>
      </w:r>
    </w:p>
    <w:p w14:paraId="0682A7A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宋体"/>
          <w:kern w:val="0"/>
          <w:sz w:val="32"/>
          <w:szCs w:val="32"/>
        </w:rPr>
      </w:pPr>
      <w:r>
        <w:rPr>
          <w:rFonts w:hint="eastAsia" w:ascii="仿宋" w:hAnsi="仿宋" w:eastAsia="仿宋" w:cs="宋体"/>
          <w:kern w:val="0"/>
          <w:sz w:val="32"/>
          <w:szCs w:val="32"/>
        </w:rPr>
        <w:t>（</w:t>
      </w:r>
      <w:r>
        <w:rPr>
          <w:rFonts w:ascii="仿宋" w:hAnsi="仿宋" w:eastAsia="仿宋" w:cs="宋体"/>
          <w:kern w:val="0"/>
          <w:sz w:val="32"/>
          <w:szCs w:val="32"/>
        </w:rPr>
        <w:t>5</w:t>
      </w:r>
      <w:r>
        <w:rPr>
          <w:rFonts w:hint="eastAsia" w:ascii="仿宋" w:hAnsi="仿宋" w:eastAsia="仿宋" w:cs="宋体"/>
          <w:kern w:val="0"/>
          <w:sz w:val="32"/>
          <w:szCs w:val="32"/>
        </w:rPr>
        <w:t>）负责每年大创成果汇编，学院、教务部、团委配合提供相关资料。</w:t>
      </w:r>
    </w:p>
    <w:p w14:paraId="5D8C2444">
      <w:pPr>
        <w:keepNext w:val="0"/>
        <w:keepLines w:val="0"/>
        <w:pageBreakBefore w:val="0"/>
        <w:widowControl/>
        <w:kinsoku/>
        <w:wordWrap/>
        <w:overflowPunct/>
        <w:topLinePunct w:val="0"/>
        <w:autoSpaceDE/>
        <w:autoSpaceDN/>
        <w:bidi w:val="0"/>
        <w:adjustRightInd/>
        <w:snapToGrid/>
        <w:spacing w:beforeAutospacing="0" w:line="300" w:lineRule="auto"/>
        <w:ind w:firstLine="641"/>
        <w:textAlignment w:val="auto"/>
        <w:rPr>
          <w:rFonts w:hint="eastAsia" w:ascii="楷体" w:hAnsi="楷体" w:eastAsia="楷体" w:cs="楷体"/>
          <w:kern w:val="0"/>
          <w:sz w:val="32"/>
          <w:szCs w:val="32"/>
          <w:lang w:eastAsia="zh-CN"/>
        </w:rPr>
      </w:pPr>
      <w:r>
        <w:rPr>
          <w:rFonts w:hint="eastAsia" w:ascii="楷体" w:hAnsi="楷体" w:eastAsia="楷体" w:cs="楷体"/>
          <w:kern w:val="0"/>
          <w:sz w:val="32"/>
          <w:szCs w:val="32"/>
          <w:lang w:eastAsia="zh-CN"/>
        </w:rPr>
        <w:t>（三）学工部、团委主要职责</w:t>
      </w:r>
    </w:p>
    <w:p w14:paraId="7DB0B9C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宋体"/>
          <w:kern w:val="0"/>
          <w:sz w:val="32"/>
          <w:szCs w:val="32"/>
        </w:rPr>
      </w:pPr>
      <w:r>
        <w:rPr>
          <w:rFonts w:hint="eastAsia" w:ascii="仿宋" w:hAnsi="仿宋" w:eastAsia="仿宋" w:cs="宋体"/>
          <w:kern w:val="0"/>
          <w:sz w:val="32"/>
          <w:szCs w:val="32"/>
        </w:rPr>
        <w:t>（1）</w:t>
      </w:r>
      <w:r>
        <w:rPr>
          <w:rFonts w:hint="eastAsia" w:ascii="仿宋" w:hAnsi="仿宋" w:eastAsia="仿宋" w:cs="仿宋"/>
          <w:spacing w:val="12"/>
          <w:sz w:val="32"/>
          <w:szCs w:val="32"/>
        </w:rPr>
        <w:t>校团委</w:t>
      </w:r>
      <w:r>
        <w:rPr>
          <w:rFonts w:hint="eastAsia" w:ascii="仿宋" w:hAnsi="仿宋" w:eastAsia="仿宋" w:cs="宋体"/>
          <w:kern w:val="0"/>
          <w:sz w:val="32"/>
          <w:szCs w:val="32"/>
        </w:rPr>
        <w:t>组织与管理</w:t>
      </w:r>
      <w:r>
        <w:rPr>
          <w:rFonts w:hint="eastAsia" w:ascii="仿宋" w:hAnsi="仿宋" w:eastAsia="仿宋" w:cs="仿宋"/>
          <w:spacing w:val="12"/>
          <w:sz w:val="32"/>
          <w:szCs w:val="32"/>
        </w:rPr>
        <w:t>“挑战杯”全国大学生课外学术科技作品竞赛和“挑战杯”全国大学生创业计划竞赛，</w:t>
      </w:r>
      <w:r>
        <w:rPr>
          <w:rFonts w:hint="eastAsia" w:ascii="Calibri" w:hAnsi="Calibri" w:eastAsia="仿宋" w:cs="Calibri"/>
          <w:kern w:val="0"/>
          <w:sz w:val="32"/>
          <w:szCs w:val="32"/>
        </w:rPr>
        <w:t>包括总经费预算、项目挖掘、组织各学院报名、组织开展校赛选拔、组织参加省赛和国赛、负责参赛总结表彰和奖励等工作。</w:t>
      </w:r>
    </w:p>
    <w:p w14:paraId="64583013">
      <w:pPr>
        <w:keepNext w:val="0"/>
        <w:keepLines w:val="0"/>
        <w:pageBreakBefore w:val="0"/>
        <w:widowControl w:val="0"/>
        <w:kinsoku/>
        <w:wordWrap/>
        <w:overflowPunct/>
        <w:topLinePunct w:val="0"/>
        <w:autoSpaceDE/>
        <w:autoSpaceDN/>
        <w:bidi w:val="0"/>
        <w:adjustRightInd/>
        <w:snapToGrid/>
        <w:ind w:firstLine="688" w:firstLineChars="200"/>
        <w:textAlignment w:val="auto"/>
        <w:rPr>
          <w:rFonts w:hint="eastAsia" w:ascii="仿宋" w:hAnsi="仿宋" w:eastAsia="仿宋" w:cs="宋体"/>
          <w:kern w:val="0"/>
          <w:sz w:val="32"/>
          <w:szCs w:val="32"/>
        </w:rPr>
      </w:pPr>
      <w:r>
        <w:rPr>
          <w:rFonts w:hint="eastAsia" w:ascii="仿宋" w:hAnsi="仿宋" w:eastAsia="仿宋" w:cs="仿宋"/>
          <w:spacing w:val="12"/>
          <w:sz w:val="32"/>
          <w:szCs w:val="32"/>
        </w:rPr>
        <w:t>（2）</w:t>
      </w:r>
      <w:r>
        <w:rPr>
          <w:rFonts w:hint="eastAsia" w:ascii="仿宋" w:hAnsi="仿宋" w:eastAsia="仿宋" w:cs="宋体"/>
          <w:kern w:val="0"/>
          <w:sz w:val="32"/>
          <w:szCs w:val="32"/>
        </w:rPr>
        <w:t>在学生评奖评优等方面制定相应的政策，鼓励学生积极参与创新创业实践教育，积极参加学科竞赛。</w:t>
      </w:r>
    </w:p>
    <w:p w14:paraId="26392DE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宋体"/>
          <w:b/>
          <w:bCs/>
          <w:kern w:val="0"/>
          <w:sz w:val="32"/>
          <w:szCs w:val="32"/>
        </w:rPr>
      </w:pPr>
      <w:r>
        <w:rPr>
          <w:rFonts w:hint="eastAsia" w:ascii="仿宋" w:hAnsi="仿宋" w:eastAsia="仿宋" w:cs="宋体"/>
          <w:kern w:val="0"/>
          <w:sz w:val="32"/>
          <w:szCs w:val="32"/>
        </w:rPr>
        <w:t>（</w:t>
      </w:r>
      <w:r>
        <w:rPr>
          <w:rFonts w:ascii="仿宋" w:hAnsi="仿宋" w:eastAsia="仿宋" w:cs="宋体"/>
          <w:kern w:val="0"/>
          <w:sz w:val="32"/>
          <w:szCs w:val="32"/>
        </w:rPr>
        <w:t>3</w:t>
      </w:r>
      <w:r>
        <w:rPr>
          <w:rFonts w:hint="eastAsia" w:ascii="仿宋" w:hAnsi="仿宋" w:eastAsia="仿宋" w:cs="宋体"/>
          <w:kern w:val="0"/>
          <w:sz w:val="32"/>
          <w:szCs w:val="32"/>
        </w:rPr>
        <w:t>）组织学生社团积极参与双创活动的管理，增强学生自主管理意识，提升学生自主管理能力。</w:t>
      </w:r>
    </w:p>
    <w:p w14:paraId="7AA2F16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宋体"/>
          <w:kern w:val="0"/>
          <w:sz w:val="32"/>
          <w:szCs w:val="32"/>
        </w:rPr>
      </w:pPr>
      <w:r>
        <w:rPr>
          <w:rFonts w:hint="eastAsia" w:ascii="仿宋" w:hAnsi="仿宋" w:eastAsia="仿宋" w:cs="宋体"/>
          <w:kern w:val="0"/>
          <w:sz w:val="32"/>
          <w:szCs w:val="32"/>
        </w:rPr>
        <w:t>（</w:t>
      </w:r>
      <w:r>
        <w:rPr>
          <w:rFonts w:ascii="仿宋" w:hAnsi="仿宋" w:eastAsia="仿宋" w:cs="宋体"/>
          <w:kern w:val="0"/>
          <w:sz w:val="32"/>
          <w:szCs w:val="32"/>
        </w:rPr>
        <w:t>4</w:t>
      </w:r>
      <w:r>
        <w:rPr>
          <w:rFonts w:hint="eastAsia" w:ascii="仿宋" w:hAnsi="仿宋" w:eastAsia="仿宋" w:cs="宋体"/>
          <w:kern w:val="0"/>
          <w:sz w:val="32"/>
          <w:szCs w:val="32"/>
        </w:rPr>
        <w:t>）负责认定学生学科竞赛“素质教育拓展（第二课堂）”的学分。</w:t>
      </w:r>
    </w:p>
    <w:p w14:paraId="3457378A">
      <w:pPr>
        <w:keepNext w:val="0"/>
        <w:keepLines w:val="0"/>
        <w:pageBreakBefore w:val="0"/>
        <w:widowControl/>
        <w:kinsoku/>
        <w:wordWrap/>
        <w:overflowPunct/>
        <w:topLinePunct w:val="0"/>
        <w:autoSpaceDE/>
        <w:autoSpaceDN/>
        <w:bidi w:val="0"/>
        <w:adjustRightInd/>
        <w:snapToGrid/>
        <w:spacing w:beforeAutospacing="0" w:line="300" w:lineRule="auto"/>
        <w:ind w:firstLine="641"/>
        <w:textAlignment w:val="auto"/>
        <w:rPr>
          <w:rFonts w:hint="eastAsia" w:ascii="楷体" w:hAnsi="楷体" w:eastAsia="楷体" w:cs="楷体"/>
          <w:kern w:val="0"/>
          <w:sz w:val="32"/>
          <w:szCs w:val="32"/>
          <w:lang w:eastAsia="zh-CN"/>
        </w:rPr>
      </w:pPr>
      <w:r>
        <w:rPr>
          <w:rFonts w:hint="eastAsia" w:ascii="楷体" w:hAnsi="楷体" w:eastAsia="楷体" w:cs="楷体"/>
          <w:kern w:val="0"/>
          <w:sz w:val="32"/>
          <w:szCs w:val="32"/>
          <w:lang w:eastAsia="zh-CN"/>
        </w:rPr>
        <w:t>（四）学院主要职责</w:t>
      </w:r>
    </w:p>
    <w:p w14:paraId="10FA6BB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宋体"/>
          <w:kern w:val="0"/>
          <w:sz w:val="32"/>
          <w:szCs w:val="32"/>
        </w:rPr>
      </w:pPr>
      <w:r>
        <w:rPr>
          <w:rFonts w:hint="eastAsia" w:ascii="仿宋" w:hAnsi="仿宋" w:eastAsia="仿宋" w:cs="宋体"/>
          <w:kern w:val="0"/>
          <w:sz w:val="32"/>
          <w:szCs w:val="32"/>
        </w:rPr>
        <w:t>（1）成立学院“学科竞赛工作组”，负责竞赛的组织和管理工作。积极推荐“三大赛”项目，组织参赛队伍参加校赛选拔；对本院归口管理的学科竞赛项目进行科学规划、统筹安排。</w:t>
      </w:r>
    </w:p>
    <w:p w14:paraId="7204443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宋体"/>
          <w:kern w:val="0"/>
          <w:sz w:val="32"/>
          <w:szCs w:val="32"/>
        </w:rPr>
      </w:pPr>
      <w:r>
        <w:rPr>
          <w:rFonts w:hint="eastAsia" w:ascii="仿宋" w:hAnsi="仿宋" w:eastAsia="仿宋" w:cs="宋体"/>
          <w:kern w:val="0"/>
          <w:sz w:val="32"/>
          <w:szCs w:val="32"/>
        </w:rPr>
        <w:t>（2</w:t>
      </w:r>
      <w:r>
        <w:rPr>
          <w:rFonts w:ascii="仿宋" w:hAnsi="仿宋" w:eastAsia="仿宋" w:cs="宋体"/>
          <w:kern w:val="0"/>
          <w:sz w:val="32"/>
          <w:szCs w:val="32"/>
        </w:rPr>
        <w:t>）</w:t>
      </w:r>
      <w:r>
        <w:rPr>
          <w:rFonts w:hint="eastAsia" w:ascii="仿宋" w:hAnsi="仿宋" w:eastAsia="仿宋" w:cs="宋体"/>
          <w:kern w:val="0"/>
          <w:sz w:val="32"/>
          <w:szCs w:val="32"/>
        </w:rPr>
        <w:t>负责归口管理的学科竞赛年度计划制定、经费预算、学生选拔、教师指导、参赛报名、竞赛过程管理和奖励申报等工作。</w:t>
      </w:r>
    </w:p>
    <w:p w14:paraId="3003350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宋体"/>
          <w:kern w:val="0"/>
          <w:sz w:val="32"/>
          <w:szCs w:val="32"/>
        </w:rPr>
      </w:pPr>
      <w:r>
        <w:rPr>
          <w:rFonts w:hint="eastAsia" w:ascii="仿宋" w:hAnsi="仿宋" w:eastAsia="仿宋" w:cs="宋体"/>
          <w:kern w:val="0"/>
          <w:sz w:val="32"/>
          <w:szCs w:val="32"/>
        </w:rPr>
        <w:t>（3）协助审核竞赛成果等归档材料、奖补奖励、宣传报导等工作。</w:t>
      </w:r>
    </w:p>
    <w:p w14:paraId="17CE7C5B">
      <w:pPr>
        <w:keepNext w:val="0"/>
        <w:keepLines w:val="0"/>
        <w:pageBreakBefore w:val="0"/>
        <w:widowControl/>
        <w:kinsoku/>
        <w:wordWrap/>
        <w:overflowPunct/>
        <w:topLinePunct w:val="0"/>
        <w:autoSpaceDE/>
        <w:autoSpaceDN/>
        <w:bidi w:val="0"/>
        <w:adjustRightInd/>
        <w:snapToGrid/>
        <w:spacing w:beforeAutospacing="0" w:line="300" w:lineRule="auto"/>
        <w:ind w:firstLine="641"/>
        <w:jc w:val="left"/>
        <w:textAlignment w:val="auto"/>
        <w:rPr>
          <w:rFonts w:hint="eastAsia" w:ascii="仿宋" w:hAnsi="仿宋" w:eastAsia="仿宋" w:cs="宋体"/>
          <w:kern w:val="0"/>
          <w:sz w:val="32"/>
          <w:szCs w:val="32"/>
        </w:rPr>
      </w:pPr>
      <w:r>
        <w:rPr>
          <w:rFonts w:hint="eastAsia" w:ascii="仿宋" w:hAnsi="仿宋" w:eastAsia="仿宋" w:cs="宋体"/>
          <w:b/>
          <w:bCs/>
          <w:kern w:val="0"/>
          <w:sz w:val="32"/>
          <w:szCs w:val="32"/>
        </w:rPr>
        <w:t>第七条</w:t>
      </w:r>
      <w:r>
        <w:rPr>
          <w:rFonts w:hint="eastAsia" w:ascii="Calibri" w:hAnsi="Calibri" w:eastAsia="仿宋" w:cs="Calibri"/>
          <w:kern w:val="0"/>
          <w:sz w:val="32"/>
          <w:szCs w:val="32"/>
        </w:rPr>
        <w:t xml:space="preserve"> </w:t>
      </w:r>
      <w:r>
        <w:rPr>
          <w:rFonts w:hint="eastAsia" w:ascii="仿宋" w:hAnsi="仿宋" w:eastAsia="仿宋" w:cs="宋体"/>
          <w:kern w:val="0"/>
          <w:sz w:val="32"/>
          <w:szCs w:val="32"/>
        </w:rPr>
        <w:t>学科竞赛采用项目化管理方式，实行竞赛负责人负责制。学科竞赛项目负责人应由经验丰富且愿意投身于竞赛工作的高水平教师担任。对于成绩长期较差的竞赛项目，归口管理学院（部门）可以调整更换该项目负责人。每年12月由竞赛负责人填写下一年《竞赛立项申请书》，原则上每位教师一年内最多参与2项竞赛指导（不包括“三大赛”），其中只能担任1项竞赛负责人，杜绝挂名虚设负责人和虚设指导教师。</w:t>
      </w:r>
    </w:p>
    <w:p w14:paraId="5BFCF16F">
      <w:pPr>
        <w:keepNext w:val="0"/>
        <w:keepLines w:val="0"/>
        <w:pageBreakBefore w:val="0"/>
        <w:widowControl/>
        <w:kinsoku/>
        <w:wordWrap/>
        <w:overflowPunct/>
        <w:topLinePunct w:val="0"/>
        <w:autoSpaceDE/>
        <w:autoSpaceDN/>
        <w:bidi w:val="0"/>
        <w:adjustRightInd/>
        <w:snapToGrid/>
        <w:spacing w:beforeAutospacing="0" w:line="300" w:lineRule="auto"/>
        <w:ind w:firstLine="640" w:firstLineChars="200"/>
        <w:jc w:val="left"/>
        <w:textAlignment w:val="auto"/>
        <w:rPr>
          <w:rFonts w:hint="eastAsia" w:ascii="楷体" w:hAnsi="楷体" w:eastAsia="楷体" w:cs="楷体"/>
          <w:kern w:val="0"/>
          <w:sz w:val="32"/>
          <w:szCs w:val="32"/>
        </w:rPr>
      </w:pPr>
      <w:r>
        <w:rPr>
          <w:rFonts w:hint="eastAsia" w:ascii="楷体" w:hAnsi="楷体" w:eastAsia="楷体" w:cs="楷体"/>
          <w:kern w:val="0"/>
          <w:sz w:val="32"/>
          <w:szCs w:val="32"/>
        </w:rPr>
        <w:t>（一）项目负责人主要职责</w:t>
      </w:r>
    </w:p>
    <w:p w14:paraId="210BD610">
      <w:pPr>
        <w:keepNext w:val="0"/>
        <w:keepLines w:val="0"/>
        <w:pageBreakBefore w:val="0"/>
        <w:widowControl/>
        <w:kinsoku/>
        <w:wordWrap/>
        <w:overflowPunct/>
        <w:topLinePunct w:val="0"/>
        <w:autoSpaceDE/>
        <w:autoSpaceDN/>
        <w:bidi w:val="0"/>
        <w:adjustRightInd/>
        <w:snapToGrid/>
        <w:spacing w:beforeAutospacing="0" w:line="300" w:lineRule="auto"/>
        <w:ind w:firstLine="640" w:firstLineChars="200"/>
        <w:jc w:val="left"/>
        <w:textAlignment w:val="auto"/>
        <w:rPr>
          <w:rFonts w:hint="eastAsia" w:ascii="仿宋" w:hAnsi="仿宋" w:eastAsia="仿宋" w:cs="宋体"/>
          <w:kern w:val="0"/>
          <w:sz w:val="32"/>
          <w:szCs w:val="32"/>
        </w:rPr>
      </w:pPr>
      <w:r>
        <w:rPr>
          <w:rFonts w:hint="eastAsia" w:ascii="仿宋" w:hAnsi="仿宋" w:eastAsia="仿宋" w:cs="宋体"/>
          <w:kern w:val="0"/>
          <w:sz w:val="32"/>
          <w:szCs w:val="32"/>
        </w:rPr>
        <w:t>（1）按学校及竞赛组委会要求，组织制定竞赛实施细则。</w:t>
      </w:r>
    </w:p>
    <w:p w14:paraId="5E1FEDEA">
      <w:pPr>
        <w:keepNext w:val="0"/>
        <w:keepLines w:val="0"/>
        <w:pageBreakBefore w:val="0"/>
        <w:kinsoku/>
        <w:wordWrap/>
        <w:overflowPunct/>
        <w:topLinePunct w:val="0"/>
        <w:autoSpaceDE/>
        <w:autoSpaceDN/>
        <w:bidi w:val="0"/>
        <w:adjustRightInd/>
        <w:snapToGrid/>
        <w:spacing w:beforeAutospacing="0"/>
        <w:ind w:firstLine="640" w:firstLineChars="200"/>
        <w:textAlignment w:val="auto"/>
        <w:rPr>
          <w:rFonts w:hint="eastAsia" w:ascii="仿宋" w:hAnsi="仿宋" w:eastAsia="仿宋" w:cs="宋体"/>
          <w:kern w:val="0"/>
          <w:sz w:val="32"/>
          <w:szCs w:val="32"/>
        </w:rPr>
      </w:pPr>
      <w:r>
        <w:rPr>
          <w:rFonts w:hint="eastAsia" w:ascii="仿宋" w:hAnsi="仿宋" w:eastAsia="仿宋" w:cs="宋体"/>
          <w:kern w:val="0"/>
          <w:sz w:val="32"/>
          <w:szCs w:val="32"/>
        </w:rPr>
        <w:t>（2）根据竞赛目标，组织完成学生选拔并制定培训方案。</w:t>
      </w:r>
    </w:p>
    <w:p w14:paraId="5B02DD48">
      <w:pPr>
        <w:keepNext w:val="0"/>
        <w:keepLines w:val="0"/>
        <w:pageBreakBefore w:val="0"/>
        <w:kinsoku/>
        <w:wordWrap/>
        <w:overflowPunct/>
        <w:topLinePunct w:val="0"/>
        <w:autoSpaceDE/>
        <w:autoSpaceDN/>
        <w:bidi w:val="0"/>
        <w:adjustRightInd/>
        <w:snapToGrid/>
        <w:spacing w:beforeAutospacing="0"/>
        <w:ind w:firstLine="640" w:firstLineChars="200"/>
        <w:textAlignment w:val="auto"/>
        <w:rPr>
          <w:rFonts w:hint="eastAsia" w:ascii="仿宋" w:hAnsi="仿宋" w:eastAsia="仿宋" w:cs="宋体"/>
          <w:kern w:val="0"/>
          <w:sz w:val="32"/>
          <w:szCs w:val="32"/>
        </w:rPr>
      </w:pPr>
      <w:r>
        <w:rPr>
          <w:rFonts w:hint="eastAsia" w:ascii="仿宋" w:hAnsi="仿宋" w:eastAsia="仿宋" w:cs="宋体"/>
          <w:kern w:val="0"/>
          <w:sz w:val="32"/>
          <w:szCs w:val="32"/>
        </w:rPr>
        <w:t>（3）全程参与竞赛各环节工作，及时总结竞赛经验与不足。</w:t>
      </w:r>
    </w:p>
    <w:p w14:paraId="17EFE98D">
      <w:pPr>
        <w:keepNext w:val="0"/>
        <w:keepLines w:val="0"/>
        <w:pageBreakBefore w:val="0"/>
        <w:kinsoku/>
        <w:wordWrap/>
        <w:overflowPunct/>
        <w:topLinePunct w:val="0"/>
        <w:autoSpaceDE/>
        <w:autoSpaceDN/>
        <w:bidi w:val="0"/>
        <w:adjustRightInd/>
        <w:snapToGrid/>
        <w:ind w:firstLine="640" w:firstLineChars="200"/>
        <w:textAlignment w:val="auto"/>
        <w:rPr>
          <w:rFonts w:hint="eastAsia" w:ascii="仿宋" w:hAnsi="仿宋" w:eastAsia="仿宋" w:cs="宋体"/>
          <w:kern w:val="0"/>
          <w:sz w:val="32"/>
          <w:szCs w:val="32"/>
        </w:rPr>
      </w:pPr>
      <w:r>
        <w:rPr>
          <w:rFonts w:hint="eastAsia" w:ascii="仿宋" w:hAnsi="仿宋" w:eastAsia="仿宋" w:cs="宋体"/>
          <w:kern w:val="0"/>
          <w:sz w:val="32"/>
          <w:szCs w:val="32"/>
        </w:rPr>
        <w:t xml:space="preserve">（4）负责完成财务报销、提交竞赛结项报告、竞赛获奖名单、获奖证书扫描件、奖补奖励相关配合工作。 </w:t>
      </w:r>
    </w:p>
    <w:p w14:paraId="69DF8A41">
      <w:pPr>
        <w:keepNext w:val="0"/>
        <w:keepLines w:val="0"/>
        <w:pageBreakBefore w:val="0"/>
        <w:widowControl/>
        <w:kinsoku/>
        <w:wordWrap/>
        <w:overflowPunct/>
        <w:topLinePunct w:val="0"/>
        <w:autoSpaceDE/>
        <w:autoSpaceDN/>
        <w:bidi w:val="0"/>
        <w:adjustRightInd/>
        <w:snapToGrid/>
        <w:spacing w:beforeAutospacing="0" w:line="300" w:lineRule="auto"/>
        <w:ind w:firstLine="640" w:firstLineChars="200"/>
        <w:jc w:val="left"/>
        <w:textAlignment w:val="auto"/>
        <w:rPr>
          <w:rFonts w:hint="eastAsia" w:ascii="楷体" w:hAnsi="楷体" w:eastAsia="楷体" w:cs="楷体"/>
          <w:kern w:val="0"/>
          <w:sz w:val="32"/>
          <w:szCs w:val="32"/>
        </w:rPr>
      </w:pPr>
      <w:r>
        <w:rPr>
          <w:rFonts w:hint="eastAsia" w:ascii="楷体" w:hAnsi="楷体" w:eastAsia="楷体" w:cs="楷体"/>
          <w:kern w:val="0"/>
          <w:sz w:val="32"/>
          <w:szCs w:val="32"/>
        </w:rPr>
        <w:t>（二）指导教师主要职责</w:t>
      </w:r>
    </w:p>
    <w:p w14:paraId="3FC7DD1E">
      <w:pPr>
        <w:keepNext w:val="0"/>
        <w:keepLines w:val="0"/>
        <w:pageBreakBefore w:val="0"/>
        <w:kinsoku/>
        <w:wordWrap/>
        <w:overflowPunct/>
        <w:topLinePunct w:val="0"/>
        <w:autoSpaceDE/>
        <w:autoSpaceDN/>
        <w:bidi w:val="0"/>
        <w:adjustRightInd/>
        <w:snapToGrid/>
        <w:ind w:firstLine="640" w:firstLineChars="200"/>
        <w:textAlignment w:val="auto"/>
        <w:rPr>
          <w:rFonts w:hint="eastAsia" w:ascii="仿宋" w:hAnsi="仿宋" w:eastAsia="仿宋" w:cs="宋体"/>
          <w:kern w:val="0"/>
          <w:sz w:val="32"/>
          <w:szCs w:val="32"/>
        </w:rPr>
      </w:pPr>
      <w:r>
        <w:rPr>
          <w:rFonts w:hint="eastAsia" w:ascii="仿宋" w:hAnsi="仿宋" w:eastAsia="仿宋" w:cs="宋体"/>
          <w:kern w:val="0"/>
          <w:sz w:val="32"/>
          <w:szCs w:val="32"/>
        </w:rPr>
        <w:t>（1）指导教师数量根据竞赛需求设置，为确保指导质量，每位指导教师原则上最多指导同一竞赛中的4支参赛队伍（其中A类赛事不限制指导队伍数）特殊情况需报教务部审批，严禁挂名。</w:t>
      </w:r>
    </w:p>
    <w:p w14:paraId="62321D99">
      <w:pPr>
        <w:keepNext w:val="0"/>
        <w:keepLines w:val="0"/>
        <w:pageBreakBefore w:val="0"/>
        <w:kinsoku/>
        <w:wordWrap/>
        <w:overflowPunct/>
        <w:topLinePunct w:val="0"/>
        <w:autoSpaceDE/>
        <w:autoSpaceDN/>
        <w:bidi w:val="0"/>
        <w:adjustRightInd/>
        <w:snapToGrid/>
        <w:ind w:firstLine="640" w:firstLineChars="200"/>
        <w:textAlignment w:val="auto"/>
        <w:rPr>
          <w:rFonts w:hint="eastAsia" w:ascii="仿宋" w:hAnsi="仿宋" w:eastAsia="仿宋" w:cs="宋体"/>
          <w:kern w:val="0"/>
          <w:sz w:val="32"/>
          <w:szCs w:val="32"/>
        </w:rPr>
      </w:pPr>
      <w:r>
        <w:rPr>
          <w:rFonts w:hint="eastAsia" w:ascii="仿宋" w:hAnsi="仿宋" w:eastAsia="仿宋" w:cs="宋体"/>
          <w:kern w:val="0"/>
          <w:sz w:val="32"/>
          <w:szCs w:val="32"/>
        </w:rPr>
        <w:t>（2）指导教师应配合项目负责人完成全部竞赛组织工作。</w:t>
      </w:r>
    </w:p>
    <w:p w14:paraId="0A08B0E9">
      <w:pPr>
        <w:keepNext w:val="0"/>
        <w:keepLines w:val="0"/>
        <w:pageBreakBefore w:val="0"/>
        <w:kinsoku/>
        <w:wordWrap/>
        <w:overflowPunct/>
        <w:topLinePunct w:val="0"/>
        <w:autoSpaceDE/>
        <w:autoSpaceDN/>
        <w:bidi w:val="0"/>
        <w:adjustRightInd/>
        <w:snapToGrid/>
        <w:ind w:firstLine="640" w:firstLineChars="200"/>
        <w:textAlignment w:val="auto"/>
        <w:rPr>
          <w:rFonts w:hint="eastAsia" w:ascii="仿宋" w:hAnsi="仿宋" w:eastAsia="仿宋" w:cs="宋体"/>
          <w:kern w:val="0"/>
          <w:sz w:val="32"/>
          <w:szCs w:val="32"/>
        </w:rPr>
      </w:pPr>
      <w:r>
        <w:rPr>
          <w:rFonts w:hint="eastAsia" w:ascii="仿宋" w:hAnsi="仿宋" w:eastAsia="仿宋" w:cs="宋体"/>
          <w:kern w:val="0"/>
          <w:sz w:val="32"/>
          <w:szCs w:val="32"/>
        </w:rPr>
        <w:t>（3）指导教师一经确立，原则上不予调整；特殊情况确需调整，由指导教师本人提出调整申请、承办部门审核、教务部审批。</w:t>
      </w:r>
    </w:p>
    <w:p w14:paraId="1D538EB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黑体" w:hAnsi="黑体" w:eastAsia="黑体" w:cs="宋体"/>
          <w:b w:val="0"/>
          <w:bCs w:val="0"/>
          <w:color w:val="000000"/>
          <w:kern w:val="0"/>
          <w:sz w:val="32"/>
          <w:szCs w:val="32"/>
        </w:rPr>
      </w:pPr>
      <w:bookmarkStart w:id="0" w:name="_Toc497126318"/>
      <w:bookmarkEnd w:id="0"/>
      <w:r>
        <w:rPr>
          <w:rFonts w:hint="eastAsia" w:ascii="黑体" w:hAnsi="黑体" w:eastAsia="黑体" w:cs="宋体"/>
          <w:b w:val="0"/>
          <w:bCs w:val="0"/>
          <w:color w:val="000000"/>
          <w:kern w:val="0"/>
          <w:sz w:val="32"/>
          <w:szCs w:val="32"/>
        </w:rPr>
        <w:t>第四章 竞赛经费管理使用</w:t>
      </w:r>
    </w:p>
    <w:p w14:paraId="2995D10D">
      <w:pPr>
        <w:ind w:firstLine="643" w:firstLineChars="200"/>
        <w:rPr>
          <w:rFonts w:hint="eastAsia" w:ascii="仿宋" w:hAnsi="仿宋" w:eastAsia="仿宋" w:cs="宋体"/>
          <w:b/>
          <w:bCs/>
          <w:kern w:val="0"/>
          <w:sz w:val="32"/>
          <w:szCs w:val="32"/>
        </w:rPr>
      </w:pPr>
      <w:r>
        <w:rPr>
          <w:rFonts w:hint="eastAsia" w:ascii="仿宋" w:hAnsi="仿宋" w:eastAsia="仿宋" w:cs="宋体"/>
          <w:b/>
          <w:bCs/>
          <w:kern w:val="0"/>
          <w:sz w:val="32"/>
          <w:szCs w:val="32"/>
        </w:rPr>
        <w:t>第八条</w:t>
      </w:r>
      <w:r>
        <w:rPr>
          <w:rFonts w:hint="eastAsia" w:ascii="仿宋" w:hAnsi="仿宋" w:eastAsia="仿宋" w:cs="宋体"/>
          <w:b/>
          <w:bCs/>
          <w:kern w:val="0"/>
          <w:sz w:val="32"/>
          <w:szCs w:val="32"/>
          <w:lang w:val="en-US" w:eastAsia="zh-CN"/>
        </w:rPr>
        <w:t xml:space="preserve"> </w:t>
      </w:r>
      <w:r>
        <w:rPr>
          <w:rFonts w:hint="eastAsia" w:ascii="仿宋" w:hAnsi="仿宋" w:eastAsia="仿宋" w:cs="宋体"/>
          <w:b/>
          <w:bCs/>
          <w:kern w:val="0"/>
          <w:sz w:val="32"/>
          <w:szCs w:val="32"/>
        </w:rPr>
        <w:t>经费预算</w:t>
      </w:r>
    </w:p>
    <w:p w14:paraId="7381B4C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宋体"/>
          <w:kern w:val="0"/>
          <w:sz w:val="32"/>
          <w:szCs w:val="32"/>
        </w:rPr>
      </w:pPr>
      <w:r>
        <w:rPr>
          <w:rFonts w:hint="eastAsia" w:ascii="楷体" w:hAnsi="楷体" w:eastAsia="楷体" w:cs="楷体"/>
          <w:kern w:val="0"/>
          <w:sz w:val="32"/>
          <w:szCs w:val="32"/>
        </w:rPr>
        <w:t>（一）</w:t>
      </w:r>
      <w:r>
        <w:rPr>
          <w:rFonts w:hint="eastAsia" w:ascii="仿宋" w:hAnsi="仿宋" w:eastAsia="仿宋" w:cs="宋体"/>
          <w:kern w:val="0"/>
          <w:sz w:val="32"/>
          <w:szCs w:val="32"/>
        </w:rPr>
        <w:t>学校设立大学生学科竞赛专项经费，纳入年度经费预算，严格按照财务相关规定使用审批，经费在限额内使用。</w:t>
      </w:r>
      <w:r>
        <w:rPr>
          <w:rFonts w:ascii="仿宋" w:hAnsi="仿宋" w:eastAsia="仿宋" w:cs="宋体"/>
          <w:kern w:val="0"/>
          <w:sz w:val="32"/>
          <w:szCs w:val="32"/>
        </w:rPr>
        <w:t xml:space="preserve"> </w:t>
      </w:r>
    </w:p>
    <w:p w14:paraId="5200A34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宋体"/>
          <w:kern w:val="0"/>
          <w:sz w:val="32"/>
          <w:szCs w:val="32"/>
        </w:rPr>
      </w:pPr>
      <w:r>
        <w:rPr>
          <w:rFonts w:hint="eastAsia" w:ascii="楷体" w:hAnsi="楷体" w:eastAsia="楷体" w:cs="楷体"/>
          <w:kern w:val="0"/>
          <w:sz w:val="32"/>
          <w:szCs w:val="32"/>
        </w:rPr>
        <w:t>（二）</w:t>
      </w:r>
      <w:r>
        <w:rPr>
          <w:rFonts w:hint="eastAsia" w:ascii="仿宋" w:hAnsi="仿宋" w:eastAsia="仿宋" w:cs="宋体"/>
          <w:kern w:val="0"/>
          <w:sz w:val="32"/>
          <w:szCs w:val="32"/>
        </w:rPr>
        <w:t>各二级学院每年12月份向教务部提出下一年度普通竞赛项目及经费预算申请。教务部根据申报项目的参赛通知、上一轮竞赛成绩和实际使用费用等综合情况，对各二级学院提交的竞赛项目及预算经费进行综合核定后报学校批准。</w:t>
      </w:r>
    </w:p>
    <w:p w14:paraId="7D84161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宋体"/>
          <w:kern w:val="0"/>
          <w:sz w:val="32"/>
          <w:szCs w:val="32"/>
        </w:rPr>
      </w:pPr>
      <w:r>
        <w:rPr>
          <w:rFonts w:hint="eastAsia" w:ascii="楷体" w:hAnsi="楷体" w:eastAsia="楷体" w:cs="楷体"/>
          <w:kern w:val="0"/>
          <w:sz w:val="32"/>
          <w:szCs w:val="32"/>
        </w:rPr>
        <w:t>（三）</w:t>
      </w:r>
      <w:r>
        <w:rPr>
          <w:rFonts w:hint="eastAsia" w:ascii="仿宋" w:hAnsi="仿宋" w:eastAsia="仿宋" w:cs="宋体"/>
          <w:kern w:val="0"/>
          <w:sz w:val="32"/>
          <w:szCs w:val="32"/>
        </w:rPr>
        <w:t>预算当年，由于新增或者首次参加的，没有纳入本年度预算计划的项目，由二级学院安排竞赛负责人填写《竞赛立项申请书》，经相关学院负责人、教务部及分管校领导审批同意后纳入补充预算计划中。</w:t>
      </w:r>
    </w:p>
    <w:p w14:paraId="4F500E2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宋体"/>
          <w:kern w:val="0"/>
          <w:sz w:val="32"/>
          <w:szCs w:val="32"/>
        </w:rPr>
      </w:pPr>
      <w:r>
        <w:rPr>
          <w:rFonts w:hint="eastAsia" w:ascii="楷体" w:hAnsi="楷体" w:eastAsia="楷体" w:cs="楷体"/>
          <w:kern w:val="0"/>
          <w:sz w:val="32"/>
          <w:szCs w:val="32"/>
        </w:rPr>
        <w:t>（四）</w:t>
      </w:r>
      <w:r>
        <w:rPr>
          <w:rFonts w:hint="eastAsia" w:ascii="仿宋" w:hAnsi="仿宋" w:eastAsia="仿宋" w:cs="宋体"/>
          <w:kern w:val="0"/>
          <w:sz w:val="32"/>
          <w:szCs w:val="32"/>
        </w:rPr>
        <w:t>各二级学院可根据自身专业发展需要组织一定范围内的院级学科竞赛活动，原则上经费自筹或在学院经费预算中按比例开支。</w:t>
      </w:r>
    </w:p>
    <w:p w14:paraId="4D3CB993">
      <w:pPr>
        <w:ind w:firstLine="643" w:firstLineChars="200"/>
        <w:rPr>
          <w:rFonts w:hint="eastAsia" w:ascii="仿宋" w:hAnsi="仿宋" w:eastAsia="仿宋" w:cs="宋体"/>
          <w:b/>
          <w:bCs/>
          <w:kern w:val="0"/>
          <w:sz w:val="32"/>
          <w:szCs w:val="32"/>
        </w:rPr>
      </w:pPr>
      <w:r>
        <w:rPr>
          <w:rFonts w:hint="eastAsia" w:ascii="仿宋" w:hAnsi="仿宋" w:eastAsia="仿宋" w:cs="宋体"/>
          <w:b/>
          <w:bCs/>
          <w:kern w:val="0"/>
          <w:sz w:val="32"/>
          <w:szCs w:val="32"/>
        </w:rPr>
        <w:t>第九条</w:t>
      </w:r>
      <w:r>
        <w:rPr>
          <w:rFonts w:hint="eastAsia" w:ascii="仿宋" w:hAnsi="仿宋" w:eastAsia="仿宋" w:cs="宋体"/>
          <w:b/>
          <w:bCs/>
          <w:kern w:val="0"/>
          <w:sz w:val="32"/>
          <w:szCs w:val="32"/>
          <w:lang w:val="en-US" w:eastAsia="zh-CN"/>
        </w:rPr>
        <w:t xml:space="preserve"> </w:t>
      </w:r>
      <w:r>
        <w:rPr>
          <w:rFonts w:hint="eastAsia" w:ascii="仿宋" w:hAnsi="仿宋" w:eastAsia="仿宋" w:cs="宋体"/>
          <w:b/>
          <w:bCs/>
          <w:kern w:val="0"/>
          <w:sz w:val="32"/>
          <w:szCs w:val="32"/>
        </w:rPr>
        <w:t>经费使用</w:t>
      </w:r>
    </w:p>
    <w:p w14:paraId="2DA8257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宋体"/>
          <w:kern w:val="0"/>
          <w:sz w:val="32"/>
          <w:szCs w:val="32"/>
        </w:rPr>
      </w:pPr>
      <w:r>
        <w:rPr>
          <w:rFonts w:hint="eastAsia" w:ascii="楷体" w:hAnsi="楷体" w:eastAsia="楷体" w:cs="楷体"/>
          <w:kern w:val="0"/>
          <w:sz w:val="32"/>
          <w:szCs w:val="32"/>
        </w:rPr>
        <w:t>（一）</w:t>
      </w:r>
      <w:r>
        <w:rPr>
          <w:rFonts w:hint="eastAsia" w:ascii="仿宋" w:hAnsi="仿宋" w:eastAsia="仿宋" w:cs="宋体"/>
          <w:kern w:val="0"/>
          <w:sz w:val="32"/>
          <w:szCs w:val="32"/>
        </w:rPr>
        <w:t>竞赛经费以年度划拨，学校设立年度专项经费预算，经费专款专用，经费的使用以倡导节约、保障重点和鼓励先进为原则，严格执行学校财务相关规定，竞赛所购买的非易耗品仪器设备需在资产部备案。</w:t>
      </w:r>
    </w:p>
    <w:p w14:paraId="26B19FF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宋体"/>
          <w:kern w:val="0"/>
          <w:sz w:val="32"/>
          <w:szCs w:val="32"/>
        </w:rPr>
      </w:pPr>
      <w:r>
        <w:rPr>
          <w:rFonts w:hint="eastAsia" w:ascii="楷体" w:hAnsi="楷体" w:eastAsia="楷体" w:cs="楷体"/>
          <w:kern w:val="0"/>
          <w:sz w:val="32"/>
          <w:szCs w:val="32"/>
        </w:rPr>
        <w:t>（二）</w:t>
      </w:r>
      <w:r>
        <w:rPr>
          <w:rFonts w:hint="eastAsia" w:ascii="仿宋" w:hAnsi="仿宋" w:eastAsia="仿宋" w:cs="宋体"/>
          <w:kern w:val="0"/>
          <w:sz w:val="32"/>
          <w:szCs w:val="32"/>
        </w:rPr>
        <w:t>具体开支项目主要包括：参赛报名费、培训费（由主办单位组织的相关培训）、材料消耗费（包括元器件）、竞赛场地布置费、竞赛相关联的网络通信、参赛差旅费等，注意不含餐费。特殊开支项目须前置申报说明，获批后方可使用。</w:t>
      </w:r>
    </w:p>
    <w:p w14:paraId="48CB914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黑体" w:hAnsi="黑体" w:eastAsia="黑体" w:cs="宋体"/>
          <w:b w:val="0"/>
          <w:bCs w:val="0"/>
          <w:color w:val="000000"/>
          <w:kern w:val="0"/>
          <w:sz w:val="32"/>
          <w:szCs w:val="32"/>
        </w:rPr>
      </w:pPr>
      <w:r>
        <w:rPr>
          <w:rFonts w:hint="eastAsia" w:ascii="黑体" w:hAnsi="黑体" w:eastAsia="黑体" w:cs="宋体"/>
          <w:b w:val="0"/>
          <w:bCs w:val="0"/>
          <w:color w:val="000000"/>
          <w:kern w:val="0"/>
          <w:sz w:val="32"/>
          <w:szCs w:val="32"/>
        </w:rPr>
        <w:t>第五章 竞赛奖励</w:t>
      </w:r>
    </w:p>
    <w:p w14:paraId="449210F6">
      <w:pPr>
        <w:keepNext w:val="0"/>
        <w:keepLines w:val="0"/>
        <w:pageBreakBefore w:val="0"/>
        <w:widowControl/>
        <w:kinsoku/>
        <w:wordWrap/>
        <w:overflowPunct/>
        <w:topLinePunct w:val="0"/>
        <w:autoSpaceDE/>
        <w:autoSpaceDN/>
        <w:bidi w:val="0"/>
        <w:adjustRightInd/>
        <w:snapToGrid/>
        <w:spacing w:beforeAutospacing="0" w:line="300" w:lineRule="auto"/>
        <w:ind w:firstLine="641"/>
        <w:jc w:val="left"/>
        <w:textAlignment w:val="auto"/>
        <w:rPr>
          <w:rFonts w:hint="eastAsia" w:ascii="仿宋" w:hAnsi="仿宋" w:eastAsia="仿宋" w:cs="宋体"/>
          <w:kern w:val="0"/>
          <w:sz w:val="32"/>
          <w:szCs w:val="32"/>
        </w:rPr>
      </w:pPr>
      <w:r>
        <w:rPr>
          <w:rFonts w:hint="eastAsia" w:ascii="仿宋" w:hAnsi="仿宋" w:eastAsia="仿宋" w:cs="宋体"/>
          <w:b/>
          <w:bCs/>
          <w:kern w:val="0"/>
          <w:sz w:val="32"/>
          <w:szCs w:val="32"/>
        </w:rPr>
        <w:t>第十条</w:t>
      </w:r>
      <w:r>
        <w:rPr>
          <w:rFonts w:hint="eastAsia" w:ascii="仿宋" w:hAnsi="仿宋" w:eastAsia="仿宋" w:cs="宋体"/>
          <w:b/>
          <w:bCs/>
          <w:kern w:val="0"/>
          <w:sz w:val="32"/>
          <w:szCs w:val="32"/>
          <w:lang w:val="en-US" w:eastAsia="zh-CN"/>
        </w:rPr>
        <w:t xml:space="preserve"> </w:t>
      </w:r>
      <w:r>
        <w:rPr>
          <w:rFonts w:hint="eastAsia" w:ascii="仿宋" w:hAnsi="仿宋" w:eastAsia="仿宋" w:cs="宋体"/>
          <w:kern w:val="0"/>
          <w:sz w:val="32"/>
          <w:szCs w:val="32"/>
        </w:rPr>
        <w:t xml:space="preserve">学科竞赛所获荣誉和知识产权归属参赛学生、指导教师、学院和学校共有。学校将根据竞赛类别级别、获奖等级，对参赛指导教师及学生予以奖励，对于指导教师奖励以工作量补贴和奖金二种形式奖励，对于获奖学生以奖金形式奖励。具体标准如表1所示。 </w:t>
      </w:r>
    </w:p>
    <w:p w14:paraId="7EF87D73">
      <w:pPr>
        <w:widowControl/>
        <w:ind w:firstLine="1680" w:firstLineChars="700"/>
        <w:jc w:val="left"/>
        <w:rPr>
          <w:rFonts w:hint="eastAsia" w:ascii="宋体" w:hAnsi="宋体" w:eastAsia="宋体" w:cs="宋体"/>
          <w:kern w:val="0"/>
          <w:sz w:val="24"/>
          <w:szCs w:val="24"/>
        </w:rPr>
      </w:pPr>
      <w:r>
        <w:rPr>
          <w:rFonts w:hint="eastAsia" w:ascii="宋体" w:hAnsi="宋体" w:eastAsia="宋体" w:cs="宋体"/>
          <w:kern w:val="0"/>
          <w:sz w:val="24"/>
          <w:szCs w:val="24"/>
        </w:rPr>
        <w:t>表1：省部级及以上各类学科竞赛获奖的奖励标准</w:t>
      </w:r>
    </w:p>
    <w:tbl>
      <w:tblPr>
        <w:tblStyle w:val="4"/>
        <w:tblW w:w="7270" w:type="dxa"/>
        <w:jc w:val="center"/>
        <w:tblLayout w:type="fixed"/>
        <w:tblCellMar>
          <w:top w:w="0" w:type="dxa"/>
          <w:left w:w="108" w:type="dxa"/>
          <w:bottom w:w="0" w:type="dxa"/>
          <w:right w:w="108" w:type="dxa"/>
        </w:tblCellMar>
      </w:tblPr>
      <w:tblGrid>
        <w:gridCol w:w="892"/>
        <w:gridCol w:w="1268"/>
        <w:gridCol w:w="1080"/>
        <w:gridCol w:w="1596"/>
        <w:gridCol w:w="1017"/>
        <w:gridCol w:w="1417"/>
      </w:tblGrid>
      <w:tr w14:paraId="4C553AA9">
        <w:tblPrEx>
          <w:tblCellMar>
            <w:top w:w="0" w:type="dxa"/>
            <w:left w:w="108" w:type="dxa"/>
            <w:bottom w:w="0" w:type="dxa"/>
            <w:right w:w="108" w:type="dxa"/>
          </w:tblCellMar>
        </w:tblPrEx>
        <w:trPr>
          <w:trHeight w:val="342" w:hRule="atLeast"/>
          <w:jc w:val="center"/>
        </w:trPr>
        <w:tc>
          <w:tcPr>
            <w:tcW w:w="89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275E9">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级别</w:t>
            </w:r>
          </w:p>
        </w:tc>
        <w:tc>
          <w:tcPr>
            <w:tcW w:w="126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319E2">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类别</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8E6BD">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获奖等级</w:t>
            </w:r>
          </w:p>
        </w:tc>
        <w:tc>
          <w:tcPr>
            <w:tcW w:w="261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0A319">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教师</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F3ED8">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学生</w:t>
            </w:r>
          </w:p>
        </w:tc>
      </w:tr>
      <w:tr w14:paraId="749A2585">
        <w:tblPrEx>
          <w:tblCellMar>
            <w:top w:w="0" w:type="dxa"/>
            <w:left w:w="108" w:type="dxa"/>
            <w:bottom w:w="0" w:type="dxa"/>
            <w:right w:w="108" w:type="dxa"/>
          </w:tblCellMar>
        </w:tblPrEx>
        <w:trPr>
          <w:trHeight w:val="312" w:hRule="atLeast"/>
          <w:jc w:val="center"/>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AFD94">
            <w:pPr>
              <w:jc w:val="center"/>
              <w:rPr>
                <w:rFonts w:hint="eastAsia" w:ascii="宋体" w:hAnsi="宋体" w:eastAsia="宋体" w:cs="宋体"/>
                <w:sz w:val="24"/>
                <w:szCs w:val="24"/>
              </w:rPr>
            </w:pPr>
          </w:p>
        </w:tc>
        <w:tc>
          <w:tcPr>
            <w:tcW w:w="12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F84B4">
            <w:pPr>
              <w:jc w:val="center"/>
              <w:rPr>
                <w:rFonts w:hint="eastAsia" w:ascii="宋体" w:hAnsi="宋体" w:eastAsia="宋体" w:cs="宋体"/>
                <w:sz w:val="24"/>
                <w:szCs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519C5">
            <w:pPr>
              <w:jc w:val="center"/>
              <w:rPr>
                <w:rFonts w:hint="eastAsia" w:ascii="宋体" w:hAnsi="宋体" w:eastAsia="宋体" w:cs="宋体"/>
                <w:sz w:val="24"/>
                <w:szCs w:val="24"/>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069C1">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工作量补贴（每队）</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B3BA8">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奖金（元）</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35A8D">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奖金（元）</w:t>
            </w:r>
          </w:p>
        </w:tc>
      </w:tr>
      <w:tr w14:paraId="4BCC0018">
        <w:tblPrEx>
          <w:tblCellMar>
            <w:top w:w="0" w:type="dxa"/>
            <w:left w:w="108" w:type="dxa"/>
            <w:bottom w:w="0" w:type="dxa"/>
            <w:right w:w="108" w:type="dxa"/>
          </w:tblCellMar>
        </w:tblPrEx>
        <w:trPr>
          <w:trHeight w:val="312" w:hRule="atLeast"/>
          <w:jc w:val="center"/>
        </w:trPr>
        <w:tc>
          <w:tcPr>
            <w:tcW w:w="89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609BE">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国家级</w:t>
            </w:r>
          </w:p>
        </w:tc>
        <w:tc>
          <w:tcPr>
            <w:tcW w:w="126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3D367">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A类</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68430">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特等奖</w:t>
            </w:r>
          </w:p>
        </w:tc>
        <w:tc>
          <w:tcPr>
            <w:tcW w:w="15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E9B214">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获奖计40分，未获奖计10分</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1731D">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10000</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A6C62">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4000</w:t>
            </w:r>
          </w:p>
        </w:tc>
      </w:tr>
      <w:tr w14:paraId="5B9DFDEE">
        <w:tblPrEx>
          <w:tblCellMar>
            <w:top w:w="0" w:type="dxa"/>
            <w:left w:w="108" w:type="dxa"/>
            <w:bottom w:w="0" w:type="dxa"/>
            <w:right w:w="108" w:type="dxa"/>
          </w:tblCellMar>
        </w:tblPrEx>
        <w:trPr>
          <w:trHeight w:val="312" w:hRule="atLeast"/>
          <w:jc w:val="center"/>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84E51">
            <w:pPr>
              <w:jc w:val="center"/>
              <w:rPr>
                <w:rFonts w:hint="eastAsia" w:ascii="宋体" w:hAnsi="宋体" w:eastAsia="宋体" w:cs="宋体"/>
                <w:sz w:val="24"/>
                <w:szCs w:val="24"/>
              </w:rPr>
            </w:pPr>
          </w:p>
        </w:tc>
        <w:tc>
          <w:tcPr>
            <w:tcW w:w="12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0B1C0">
            <w:pPr>
              <w:jc w:val="center"/>
              <w:rPr>
                <w:rFonts w:hint="eastAsia" w:ascii="宋体" w:hAnsi="宋体" w:eastAsia="宋体" w:cs="宋体"/>
                <w:sz w:val="24"/>
                <w:szCs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3CC53">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一等奖</w:t>
            </w:r>
          </w:p>
        </w:tc>
        <w:tc>
          <w:tcPr>
            <w:tcW w:w="1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E60377">
            <w:pPr>
              <w:jc w:val="center"/>
              <w:rPr>
                <w:rFonts w:hint="eastAsia" w:ascii="宋体" w:hAnsi="宋体" w:eastAsia="宋体" w:cs="宋体"/>
                <w:sz w:val="24"/>
                <w:szCs w:val="24"/>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E401D">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8000</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A4189">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3000</w:t>
            </w:r>
          </w:p>
        </w:tc>
      </w:tr>
      <w:tr w14:paraId="2D1C1595">
        <w:tblPrEx>
          <w:tblCellMar>
            <w:top w:w="0" w:type="dxa"/>
            <w:left w:w="108" w:type="dxa"/>
            <w:bottom w:w="0" w:type="dxa"/>
            <w:right w:w="108" w:type="dxa"/>
          </w:tblCellMar>
        </w:tblPrEx>
        <w:trPr>
          <w:trHeight w:val="312" w:hRule="atLeast"/>
          <w:jc w:val="center"/>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C0D6F">
            <w:pPr>
              <w:jc w:val="center"/>
              <w:rPr>
                <w:rFonts w:hint="eastAsia" w:ascii="宋体" w:hAnsi="宋体" w:eastAsia="宋体" w:cs="宋体"/>
                <w:sz w:val="24"/>
                <w:szCs w:val="24"/>
              </w:rPr>
            </w:pPr>
          </w:p>
        </w:tc>
        <w:tc>
          <w:tcPr>
            <w:tcW w:w="12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12448">
            <w:pPr>
              <w:jc w:val="center"/>
              <w:rPr>
                <w:rFonts w:hint="eastAsia" w:ascii="宋体" w:hAnsi="宋体" w:eastAsia="宋体" w:cs="宋体"/>
                <w:sz w:val="24"/>
                <w:szCs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82597">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二等奖</w:t>
            </w:r>
          </w:p>
        </w:tc>
        <w:tc>
          <w:tcPr>
            <w:tcW w:w="1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21A7FA">
            <w:pPr>
              <w:jc w:val="center"/>
              <w:rPr>
                <w:rFonts w:hint="eastAsia" w:ascii="宋体" w:hAnsi="宋体" w:eastAsia="宋体" w:cs="宋体"/>
                <w:sz w:val="24"/>
                <w:szCs w:val="24"/>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12FCA">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5000</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76F83">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2500</w:t>
            </w:r>
          </w:p>
        </w:tc>
      </w:tr>
      <w:tr w14:paraId="64C6C66F">
        <w:tblPrEx>
          <w:tblCellMar>
            <w:top w:w="0" w:type="dxa"/>
            <w:left w:w="108" w:type="dxa"/>
            <w:bottom w:w="0" w:type="dxa"/>
            <w:right w:w="108" w:type="dxa"/>
          </w:tblCellMar>
        </w:tblPrEx>
        <w:trPr>
          <w:trHeight w:val="312" w:hRule="atLeast"/>
          <w:jc w:val="center"/>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315B7">
            <w:pPr>
              <w:jc w:val="center"/>
              <w:rPr>
                <w:rFonts w:hint="eastAsia" w:ascii="宋体" w:hAnsi="宋体" w:eastAsia="宋体" w:cs="宋体"/>
                <w:sz w:val="24"/>
                <w:szCs w:val="24"/>
              </w:rPr>
            </w:pPr>
          </w:p>
        </w:tc>
        <w:tc>
          <w:tcPr>
            <w:tcW w:w="12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86CD1">
            <w:pPr>
              <w:jc w:val="center"/>
              <w:rPr>
                <w:rFonts w:hint="eastAsia" w:ascii="宋体" w:hAnsi="宋体" w:eastAsia="宋体" w:cs="宋体"/>
                <w:sz w:val="24"/>
                <w:szCs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F8BE8">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三等奖</w:t>
            </w:r>
          </w:p>
        </w:tc>
        <w:tc>
          <w:tcPr>
            <w:tcW w:w="1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CE8DC1">
            <w:pPr>
              <w:jc w:val="center"/>
              <w:rPr>
                <w:rFonts w:hint="eastAsia" w:ascii="宋体" w:hAnsi="宋体" w:eastAsia="宋体" w:cs="宋体"/>
                <w:sz w:val="24"/>
                <w:szCs w:val="24"/>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74979">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3000</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67DF0">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2000</w:t>
            </w:r>
          </w:p>
        </w:tc>
      </w:tr>
      <w:tr w14:paraId="53A5C67B">
        <w:tblPrEx>
          <w:tblCellMar>
            <w:top w:w="0" w:type="dxa"/>
            <w:left w:w="108" w:type="dxa"/>
            <w:bottom w:w="0" w:type="dxa"/>
            <w:right w:w="108" w:type="dxa"/>
          </w:tblCellMar>
        </w:tblPrEx>
        <w:trPr>
          <w:trHeight w:val="257" w:hRule="atLeast"/>
          <w:jc w:val="center"/>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976B5">
            <w:pPr>
              <w:jc w:val="center"/>
              <w:rPr>
                <w:rFonts w:hint="eastAsia" w:ascii="宋体" w:hAnsi="宋体" w:eastAsia="宋体" w:cs="宋体"/>
                <w:sz w:val="24"/>
                <w:szCs w:val="24"/>
              </w:rPr>
            </w:pPr>
          </w:p>
        </w:tc>
        <w:tc>
          <w:tcPr>
            <w:tcW w:w="126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25509">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B类</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7D0CF">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特等奖</w:t>
            </w:r>
          </w:p>
        </w:tc>
        <w:tc>
          <w:tcPr>
            <w:tcW w:w="15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E2F25F">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获奖计20分，未获奖计5分</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196A4">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5000</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76FE9">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3000</w:t>
            </w:r>
          </w:p>
        </w:tc>
      </w:tr>
      <w:tr w14:paraId="6EDA15B4">
        <w:tblPrEx>
          <w:tblCellMar>
            <w:top w:w="0" w:type="dxa"/>
            <w:left w:w="108" w:type="dxa"/>
            <w:bottom w:w="0" w:type="dxa"/>
            <w:right w:w="108" w:type="dxa"/>
          </w:tblCellMar>
        </w:tblPrEx>
        <w:trPr>
          <w:trHeight w:val="312" w:hRule="atLeast"/>
          <w:jc w:val="center"/>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EB747">
            <w:pPr>
              <w:jc w:val="center"/>
              <w:rPr>
                <w:rFonts w:hint="eastAsia" w:ascii="宋体" w:hAnsi="宋体" w:eastAsia="宋体" w:cs="宋体"/>
                <w:sz w:val="24"/>
                <w:szCs w:val="24"/>
              </w:rPr>
            </w:pPr>
          </w:p>
        </w:tc>
        <w:tc>
          <w:tcPr>
            <w:tcW w:w="12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36FC9">
            <w:pPr>
              <w:jc w:val="center"/>
              <w:rPr>
                <w:rFonts w:hint="eastAsia" w:ascii="宋体" w:hAnsi="宋体" w:eastAsia="宋体" w:cs="宋体"/>
                <w:sz w:val="24"/>
                <w:szCs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CEB01">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一等奖</w:t>
            </w:r>
          </w:p>
        </w:tc>
        <w:tc>
          <w:tcPr>
            <w:tcW w:w="1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B04923">
            <w:pPr>
              <w:jc w:val="center"/>
              <w:rPr>
                <w:rFonts w:hint="eastAsia" w:ascii="宋体" w:hAnsi="宋体" w:eastAsia="宋体" w:cs="宋体"/>
                <w:sz w:val="24"/>
                <w:szCs w:val="24"/>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F3CFB">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3000</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56BDF">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2000</w:t>
            </w:r>
          </w:p>
        </w:tc>
      </w:tr>
      <w:tr w14:paraId="5F62FE18">
        <w:tblPrEx>
          <w:tblCellMar>
            <w:top w:w="0" w:type="dxa"/>
            <w:left w:w="108" w:type="dxa"/>
            <w:bottom w:w="0" w:type="dxa"/>
            <w:right w:w="108" w:type="dxa"/>
          </w:tblCellMar>
        </w:tblPrEx>
        <w:trPr>
          <w:trHeight w:val="312" w:hRule="atLeast"/>
          <w:jc w:val="center"/>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A4885">
            <w:pPr>
              <w:jc w:val="center"/>
              <w:rPr>
                <w:rFonts w:hint="eastAsia" w:ascii="宋体" w:hAnsi="宋体" w:eastAsia="宋体" w:cs="宋体"/>
                <w:sz w:val="24"/>
                <w:szCs w:val="24"/>
              </w:rPr>
            </w:pPr>
          </w:p>
        </w:tc>
        <w:tc>
          <w:tcPr>
            <w:tcW w:w="12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3958B">
            <w:pPr>
              <w:jc w:val="center"/>
              <w:rPr>
                <w:rFonts w:hint="eastAsia" w:ascii="宋体" w:hAnsi="宋体" w:eastAsia="宋体" w:cs="宋体"/>
                <w:sz w:val="24"/>
                <w:szCs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C10F9">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二等奖</w:t>
            </w:r>
          </w:p>
        </w:tc>
        <w:tc>
          <w:tcPr>
            <w:tcW w:w="1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7F4E84">
            <w:pPr>
              <w:jc w:val="center"/>
              <w:rPr>
                <w:rFonts w:hint="eastAsia" w:ascii="宋体" w:hAnsi="宋体" w:eastAsia="宋体" w:cs="宋体"/>
                <w:sz w:val="24"/>
                <w:szCs w:val="24"/>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16388">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2500</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581D9">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1500</w:t>
            </w:r>
          </w:p>
        </w:tc>
      </w:tr>
      <w:tr w14:paraId="69014FDE">
        <w:tblPrEx>
          <w:tblCellMar>
            <w:top w:w="0" w:type="dxa"/>
            <w:left w:w="108" w:type="dxa"/>
            <w:bottom w:w="0" w:type="dxa"/>
            <w:right w:w="108" w:type="dxa"/>
          </w:tblCellMar>
        </w:tblPrEx>
        <w:trPr>
          <w:trHeight w:val="312" w:hRule="atLeast"/>
          <w:jc w:val="center"/>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75D7D">
            <w:pPr>
              <w:jc w:val="center"/>
              <w:rPr>
                <w:rFonts w:hint="eastAsia" w:ascii="宋体" w:hAnsi="宋体" w:eastAsia="宋体" w:cs="宋体"/>
                <w:sz w:val="24"/>
                <w:szCs w:val="24"/>
              </w:rPr>
            </w:pPr>
          </w:p>
        </w:tc>
        <w:tc>
          <w:tcPr>
            <w:tcW w:w="12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D3C0E">
            <w:pPr>
              <w:jc w:val="center"/>
              <w:rPr>
                <w:rFonts w:hint="eastAsia" w:ascii="宋体" w:hAnsi="宋体" w:eastAsia="宋体" w:cs="宋体"/>
                <w:sz w:val="24"/>
                <w:szCs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F2C28">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三等奖</w:t>
            </w:r>
          </w:p>
        </w:tc>
        <w:tc>
          <w:tcPr>
            <w:tcW w:w="1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CA8098">
            <w:pPr>
              <w:jc w:val="center"/>
              <w:rPr>
                <w:rFonts w:hint="eastAsia" w:ascii="宋体" w:hAnsi="宋体" w:eastAsia="宋体" w:cs="宋体"/>
                <w:sz w:val="24"/>
                <w:szCs w:val="24"/>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9D6E2">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2000</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2BA69">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1200</w:t>
            </w:r>
          </w:p>
        </w:tc>
      </w:tr>
      <w:tr w14:paraId="47F38C58">
        <w:tblPrEx>
          <w:tblCellMar>
            <w:top w:w="0" w:type="dxa"/>
            <w:left w:w="108" w:type="dxa"/>
            <w:bottom w:w="0" w:type="dxa"/>
            <w:right w:w="108" w:type="dxa"/>
          </w:tblCellMar>
        </w:tblPrEx>
        <w:trPr>
          <w:trHeight w:val="403" w:hRule="atLeast"/>
          <w:jc w:val="center"/>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0B392">
            <w:pPr>
              <w:jc w:val="center"/>
              <w:rPr>
                <w:rFonts w:hint="eastAsia" w:ascii="宋体" w:hAnsi="宋体" w:eastAsia="宋体" w:cs="宋体"/>
                <w:sz w:val="24"/>
                <w:szCs w:val="24"/>
              </w:rPr>
            </w:pPr>
          </w:p>
        </w:tc>
        <w:tc>
          <w:tcPr>
            <w:tcW w:w="126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B888B">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C类</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63914">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特等奖</w:t>
            </w:r>
          </w:p>
        </w:tc>
        <w:tc>
          <w:tcPr>
            <w:tcW w:w="15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F5516B">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获奖计10分，未获奖不计算</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FA5C4">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1000</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E4AB2">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800</w:t>
            </w:r>
          </w:p>
        </w:tc>
      </w:tr>
      <w:tr w14:paraId="3A8DF1EA">
        <w:tblPrEx>
          <w:tblCellMar>
            <w:top w:w="0" w:type="dxa"/>
            <w:left w:w="108" w:type="dxa"/>
            <w:bottom w:w="0" w:type="dxa"/>
            <w:right w:w="108" w:type="dxa"/>
          </w:tblCellMar>
        </w:tblPrEx>
        <w:trPr>
          <w:trHeight w:val="312" w:hRule="atLeast"/>
          <w:jc w:val="center"/>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DFDD6">
            <w:pPr>
              <w:jc w:val="center"/>
              <w:rPr>
                <w:rFonts w:hint="eastAsia" w:ascii="宋体" w:hAnsi="宋体" w:eastAsia="宋体" w:cs="宋体"/>
                <w:sz w:val="24"/>
                <w:szCs w:val="24"/>
              </w:rPr>
            </w:pPr>
          </w:p>
        </w:tc>
        <w:tc>
          <w:tcPr>
            <w:tcW w:w="12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519C0">
            <w:pPr>
              <w:jc w:val="center"/>
              <w:rPr>
                <w:rFonts w:hint="eastAsia" w:ascii="宋体" w:hAnsi="宋体" w:eastAsia="宋体" w:cs="宋体"/>
                <w:sz w:val="24"/>
                <w:szCs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296A1">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一等奖</w:t>
            </w:r>
          </w:p>
        </w:tc>
        <w:tc>
          <w:tcPr>
            <w:tcW w:w="1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E5D5E4">
            <w:pPr>
              <w:jc w:val="center"/>
              <w:rPr>
                <w:rFonts w:hint="eastAsia" w:ascii="宋体" w:hAnsi="宋体" w:eastAsia="宋体" w:cs="宋体"/>
                <w:sz w:val="24"/>
                <w:szCs w:val="24"/>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0ECDC">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800</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59069">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500</w:t>
            </w:r>
          </w:p>
        </w:tc>
      </w:tr>
      <w:tr w14:paraId="7398F8B1">
        <w:tblPrEx>
          <w:tblCellMar>
            <w:top w:w="0" w:type="dxa"/>
            <w:left w:w="108" w:type="dxa"/>
            <w:bottom w:w="0" w:type="dxa"/>
            <w:right w:w="108" w:type="dxa"/>
          </w:tblCellMar>
        </w:tblPrEx>
        <w:trPr>
          <w:trHeight w:val="312" w:hRule="atLeast"/>
          <w:jc w:val="center"/>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BBA0E">
            <w:pPr>
              <w:jc w:val="center"/>
              <w:rPr>
                <w:rFonts w:hint="eastAsia" w:ascii="宋体" w:hAnsi="宋体" w:eastAsia="宋体" w:cs="宋体"/>
                <w:sz w:val="24"/>
                <w:szCs w:val="24"/>
              </w:rPr>
            </w:pPr>
          </w:p>
        </w:tc>
        <w:tc>
          <w:tcPr>
            <w:tcW w:w="12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B0795">
            <w:pPr>
              <w:jc w:val="center"/>
              <w:rPr>
                <w:rFonts w:hint="eastAsia" w:ascii="宋体" w:hAnsi="宋体" w:eastAsia="宋体" w:cs="宋体"/>
                <w:sz w:val="24"/>
                <w:szCs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3494C">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二等奖</w:t>
            </w:r>
          </w:p>
        </w:tc>
        <w:tc>
          <w:tcPr>
            <w:tcW w:w="1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D10EEF">
            <w:pPr>
              <w:jc w:val="center"/>
              <w:rPr>
                <w:rFonts w:hint="eastAsia" w:ascii="宋体" w:hAnsi="宋体" w:eastAsia="宋体" w:cs="宋体"/>
                <w:sz w:val="24"/>
                <w:szCs w:val="24"/>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BDDB5">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600</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75F22">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400</w:t>
            </w:r>
          </w:p>
        </w:tc>
      </w:tr>
      <w:tr w14:paraId="402CBB1B">
        <w:tblPrEx>
          <w:tblCellMar>
            <w:top w:w="0" w:type="dxa"/>
            <w:left w:w="108" w:type="dxa"/>
            <w:bottom w:w="0" w:type="dxa"/>
            <w:right w:w="108" w:type="dxa"/>
          </w:tblCellMar>
        </w:tblPrEx>
        <w:trPr>
          <w:trHeight w:val="312" w:hRule="atLeast"/>
          <w:jc w:val="center"/>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4E434">
            <w:pPr>
              <w:jc w:val="center"/>
              <w:rPr>
                <w:rFonts w:hint="eastAsia" w:ascii="宋体" w:hAnsi="宋体" w:eastAsia="宋体" w:cs="宋体"/>
                <w:sz w:val="24"/>
                <w:szCs w:val="24"/>
              </w:rPr>
            </w:pPr>
          </w:p>
        </w:tc>
        <w:tc>
          <w:tcPr>
            <w:tcW w:w="12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2B402">
            <w:pPr>
              <w:jc w:val="center"/>
              <w:rPr>
                <w:rFonts w:hint="eastAsia" w:ascii="宋体" w:hAnsi="宋体" w:eastAsia="宋体" w:cs="宋体"/>
                <w:sz w:val="24"/>
                <w:szCs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C8F27">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三等奖</w:t>
            </w:r>
          </w:p>
        </w:tc>
        <w:tc>
          <w:tcPr>
            <w:tcW w:w="1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976C70">
            <w:pPr>
              <w:jc w:val="center"/>
              <w:rPr>
                <w:rFonts w:hint="eastAsia" w:ascii="宋体" w:hAnsi="宋体" w:eastAsia="宋体" w:cs="宋体"/>
                <w:sz w:val="24"/>
                <w:szCs w:val="24"/>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B2BAE">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400</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4833F">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300</w:t>
            </w:r>
          </w:p>
        </w:tc>
      </w:tr>
      <w:tr w14:paraId="36BEF9E1">
        <w:tblPrEx>
          <w:tblCellMar>
            <w:top w:w="0" w:type="dxa"/>
            <w:left w:w="108" w:type="dxa"/>
            <w:bottom w:w="0" w:type="dxa"/>
            <w:right w:w="108" w:type="dxa"/>
          </w:tblCellMar>
        </w:tblPrEx>
        <w:trPr>
          <w:trHeight w:val="330" w:hRule="atLeast"/>
          <w:jc w:val="center"/>
        </w:trPr>
        <w:tc>
          <w:tcPr>
            <w:tcW w:w="89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2C91E">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省级</w:t>
            </w:r>
          </w:p>
        </w:tc>
        <w:tc>
          <w:tcPr>
            <w:tcW w:w="126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4426F">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B类</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4BBC0">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特等奖</w:t>
            </w:r>
          </w:p>
        </w:tc>
        <w:tc>
          <w:tcPr>
            <w:tcW w:w="15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219B03">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获奖计20分，未获奖计5分</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1A52A">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2000</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93244">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1000</w:t>
            </w:r>
          </w:p>
        </w:tc>
      </w:tr>
      <w:tr w14:paraId="4EE16A75">
        <w:tblPrEx>
          <w:tblCellMar>
            <w:top w:w="0" w:type="dxa"/>
            <w:left w:w="108" w:type="dxa"/>
            <w:bottom w:w="0" w:type="dxa"/>
            <w:right w:w="108" w:type="dxa"/>
          </w:tblCellMar>
        </w:tblPrEx>
        <w:trPr>
          <w:trHeight w:val="312" w:hRule="atLeast"/>
          <w:jc w:val="center"/>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0F2DA">
            <w:pPr>
              <w:jc w:val="center"/>
              <w:rPr>
                <w:rFonts w:hint="eastAsia" w:ascii="宋体" w:hAnsi="宋体" w:eastAsia="宋体" w:cs="宋体"/>
                <w:sz w:val="24"/>
                <w:szCs w:val="24"/>
              </w:rPr>
            </w:pPr>
          </w:p>
        </w:tc>
        <w:tc>
          <w:tcPr>
            <w:tcW w:w="12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B8C25">
            <w:pPr>
              <w:jc w:val="center"/>
              <w:rPr>
                <w:rFonts w:hint="eastAsia" w:ascii="宋体" w:hAnsi="宋体" w:eastAsia="宋体" w:cs="宋体"/>
                <w:sz w:val="24"/>
                <w:szCs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6EF26">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一等奖</w:t>
            </w:r>
          </w:p>
        </w:tc>
        <w:tc>
          <w:tcPr>
            <w:tcW w:w="1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D94B30">
            <w:pPr>
              <w:jc w:val="center"/>
              <w:rPr>
                <w:rFonts w:hint="eastAsia" w:ascii="宋体" w:hAnsi="宋体" w:eastAsia="宋体" w:cs="宋体"/>
                <w:sz w:val="24"/>
                <w:szCs w:val="24"/>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1A7C9">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1500</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7058B">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800</w:t>
            </w:r>
          </w:p>
        </w:tc>
      </w:tr>
      <w:tr w14:paraId="04D35DC9">
        <w:tblPrEx>
          <w:tblCellMar>
            <w:top w:w="0" w:type="dxa"/>
            <w:left w:w="108" w:type="dxa"/>
            <w:bottom w:w="0" w:type="dxa"/>
            <w:right w:w="108" w:type="dxa"/>
          </w:tblCellMar>
        </w:tblPrEx>
        <w:trPr>
          <w:trHeight w:val="312" w:hRule="atLeast"/>
          <w:jc w:val="center"/>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484C6">
            <w:pPr>
              <w:jc w:val="center"/>
              <w:rPr>
                <w:rFonts w:hint="eastAsia" w:ascii="宋体" w:hAnsi="宋体" w:eastAsia="宋体" w:cs="宋体"/>
                <w:sz w:val="24"/>
                <w:szCs w:val="24"/>
              </w:rPr>
            </w:pPr>
          </w:p>
        </w:tc>
        <w:tc>
          <w:tcPr>
            <w:tcW w:w="12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CE09F">
            <w:pPr>
              <w:jc w:val="center"/>
              <w:rPr>
                <w:rFonts w:hint="eastAsia" w:ascii="宋体" w:hAnsi="宋体" w:eastAsia="宋体" w:cs="宋体"/>
                <w:sz w:val="24"/>
                <w:szCs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F9B29">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二等奖</w:t>
            </w:r>
          </w:p>
        </w:tc>
        <w:tc>
          <w:tcPr>
            <w:tcW w:w="1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B490A3">
            <w:pPr>
              <w:jc w:val="center"/>
              <w:rPr>
                <w:rFonts w:hint="eastAsia" w:ascii="宋体" w:hAnsi="宋体" w:eastAsia="宋体" w:cs="宋体"/>
                <w:sz w:val="24"/>
                <w:szCs w:val="24"/>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441B5">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800</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32448">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600</w:t>
            </w:r>
          </w:p>
        </w:tc>
      </w:tr>
      <w:tr w14:paraId="3F653A67">
        <w:tblPrEx>
          <w:tblCellMar>
            <w:top w:w="0" w:type="dxa"/>
            <w:left w:w="108" w:type="dxa"/>
            <w:bottom w:w="0" w:type="dxa"/>
            <w:right w:w="108" w:type="dxa"/>
          </w:tblCellMar>
        </w:tblPrEx>
        <w:trPr>
          <w:trHeight w:val="312" w:hRule="atLeast"/>
          <w:jc w:val="center"/>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5C0B9">
            <w:pPr>
              <w:jc w:val="center"/>
              <w:rPr>
                <w:rFonts w:hint="eastAsia" w:ascii="宋体" w:hAnsi="宋体" w:eastAsia="宋体" w:cs="宋体"/>
                <w:sz w:val="24"/>
                <w:szCs w:val="24"/>
              </w:rPr>
            </w:pPr>
          </w:p>
        </w:tc>
        <w:tc>
          <w:tcPr>
            <w:tcW w:w="12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02B56">
            <w:pPr>
              <w:jc w:val="center"/>
              <w:rPr>
                <w:rFonts w:hint="eastAsia" w:ascii="宋体" w:hAnsi="宋体" w:eastAsia="宋体" w:cs="宋体"/>
                <w:sz w:val="24"/>
                <w:szCs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99A2B">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三等奖</w:t>
            </w:r>
          </w:p>
        </w:tc>
        <w:tc>
          <w:tcPr>
            <w:tcW w:w="1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0ACBD2">
            <w:pPr>
              <w:jc w:val="center"/>
              <w:rPr>
                <w:rFonts w:hint="eastAsia" w:ascii="宋体" w:hAnsi="宋体" w:eastAsia="宋体" w:cs="宋体"/>
                <w:sz w:val="24"/>
                <w:szCs w:val="24"/>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99DDC">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500</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DC04A">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300</w:t>
            </w:r>
          </w:p>
        </w:tc>
      </w:tr>
      <w:tr w14:paraId="18BB1E06">
        <w:tblPrEx>
          <w:tblCellMar>
            <w:top w:w="0" w:type="dxa"/>
            <w:left w:w="108" w:type="dxa"/>
            <w:bottom w:w="0" w:type="dxa"/>
            <w:right w:w="108" w:type="dxa"/>
          </w:tblCellMar>
        </w:tblPrEx>
        <w:trPr>
          <w:trHeight w:val="624" w:hRule="atLeast"/>
          <w:jc w:val="center"/>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73F44">
            <w:pPr>
              <w:jc w:val="center"/>
              <w:rPr>
                <w:rFonts w:hint="eastAsia" w:ascii="宋体" w:hAnsi="宋体" w:eastAsia="宋体" w:cs="宋体"/>
                <w:sz w:val="24"/>
                <w:szCs w:val="24"/>
              </w:rPr>
            </w:pPr>
          </w:p>
        </w:tc>
        <w:tc>
          <w:tcPr>
            <w:tcW w:w="126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AD6B3">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C类</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2DB02">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特等奖</w:t>
            </w:r>
          </w:p>
        </w:tc>
        <w:tc>
          <w:tcPr>
            <w:tcW w:w="15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7335B2">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获奖计10分，未获奖不计算</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69E58">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800</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E4509">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500</w:t>
            </w:r>
          </w:p>
        </w:tc>
      </w:tr>
      <w:tr w14:paraId="65C472D0">
        <w:tblPrEx>
          <w:tblCellMar>
            <w:top w:w="0" w:type="dxa"/>
            <w:left w:w="108" w:type="dxa"/>
            <w:bottom w:w="0" w:type="dxa"/>
            <w:right w:w="108" w:type="dxa"/>
          </w:tblCellMar>
        </w:tblPrEx>
        <w:trPr>
          <w:trHeight w:val="312" w:hRule="atLeast"/>
          <w:jc w:val="center"/>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AE501">
            <w:pPr>
              <w:jc w:val="center"/>
              <w:rPr>
                <w:rFonts w:hint="eastAsia" w:ascii="宋体" w:hAnsi="宋体" w:eastAsia="宋体" w:cs="宋体"/>
                <w:sz w:val="24"/>
                <w:szCs w:val="24"/>
              </w:rPr>
            </w:pPr>
          </w:p>
        </w:tc>
        <w:tc>
          <w:tcPr>
            <w:tcW w:w="12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7A4B3">
            <w:pPr>
              <w:jc w:val="center"/>
              <w:rPr>
                <w:rFonts w:hint="eastAsia" w:ascii="宋体" w:hAnsi="宋体" w:eastAsia="宋体" w:cs="宋体"/>
                <w:sz w:val="24"/>
                <w:szCs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AC3EE">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一等奖</w:t>
            </w:r>
          </w:p>
        </w:tc>
        <w:tc>
          <w:tcPr>
            <w:tcW w:w="1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8866B0">
            <w:pPr>
              <w:jc w:val="center"/>
              <w:rPr>
                <w:rFonts w:hint="eastAsia" w:ascii="宋体" w:hAnsi="宋体" w:eastAsia="宋体" w:cs="宋体"/>
                <w:sz w:val="24"/>
                <w:szCs w:val="24"/>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22E31">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500</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2C973">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300</w:t>
            </w:r>
          </w:p>
        </w:tc>
      </w:tr>
      <w:tr w14:paraId="2CFF65FB">
        <w:tblPrEx>
          <w:tblCellMar>
            <w:top w:w="0" w:type="dxa"/>
            <w:left w:w="108" w:type="dxa"/>
            <w:bottom w:w="0" w:type="dxa"/>
            <w:right w:w="108" w:type="dxa"/>
          </w:tblCellMar>
        </w:tblPrEx>
        <w:trPr>
          <w:trHeight w:val="312" w:hRule="atLeast"/>
          <w:jc w:val="center"/>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4BA6D">
            <w:pPr>
              <w:jc w:val="center"/>
              <w:rPr>
                <w:rFonts w:hint="eastAsia" w:ascii="宋体" w:hAnsi="宋体" w:eastAsia="宋体" w:cs="宋体"/>
                <w:sz w:val="24"/>
                <w:szCs w:val="24"/>
              </w:rPr>
            </w:pPr>
          </w:p>
        </w:tc>
        <w:tc>
          <w:tcPr>
            <w:tcW w:w="12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8370D">
            <w:pPr>
              <w:jc w:val="center"/>
              <w:rPr>
                <w:rFonts w:hint="eastAsia" w:ascii="宋体" w:hAnsi="宋体" w:eastAsia="宋体" w:cs="宋体"/>
                <w:sz w:val="24"/>
                <w:szCs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6783A">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二等奖</w:t>
            </w:r>
          </w:p>
        </w:tc>
        <w:tc>
          <w:tcPr>
            <w:tcW w:w="1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7DD97D">
            <w:pPr>
              <w:jc w:val="center"/>
              <w:rPr>
                <w:rFonts w:hint="eastAsia" w:ascii="宋体" w:hAnsi="宋体" w:eastAsia="宋体" w:cs="宋体"/>
                <w:sz w:val="24"/>
                <w:szCs w:val="24"/>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60C2A">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300</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29974">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200</w:t>
            </w:r>
          </w:p>
        </w:tc>
      </w:tr>
      <w:tr w14:paraId="00027659">
        <w:tblPrEx>
          <w:tblCellMar>
            <w:top w:w="0" w:type="dxa"/>
            <w:left w:w="108" w:type="dxa"/>
            <w:bottom w:w="0" w:type="dxa"/>
            <w:right w:w="108" w:type="dxa"/>
          </w:tblCellMar>
        </w:tblPrEx>
        <w:trPr>
          <w:trHeight w:val="312" w:hRule="atLeast"/>
          <w:jc w:val="center"/>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860BC">
            <w:pPr>
              <w:jc w:val="center"/>
              <w:rPr>
                <w:rFonts w:hint="eastAsia" w:ascii="宋体" w:hAnsi="宋体" w:eastAsia="宋体" w:cs="宋体"/>
                <w:sz w:val="24"/>
                <w:szCs w:val="24"/>
              </w:rPr>
            </w:pPr>
          </w:p>
        </w:tc>
        <w:tc>
          <w:tcPr>
            <w:tcW w:w="12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71E4A">
            <w:pPr>
              <w:jc w:val="center"/>
              <w:rPr>
                <w:rFonts w:hint="eastAsia" w:ascii="宋体" w:hAnsi="宋体" w:eastAsia="宋体" w:cs="宋体"/>
                <w:sz w:val="24"/>
                <w:szCs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FEBF3">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三等奖</w:t>
            </w:r>
          </w:p>
        </w:tc>
        <w:tc>
          <w:tcPr>
            <w:tcW w:w="1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D5703B">
            <w:pPr>
              <w:jc w:val="center"/>
              <w:rPr>
                <w:rFonts w:hint="eastAsia" w:ascii="宋体" w:hAnsi="宋体" w:eastAsia="宋体" w:cs="宋体"/>
                <w:sz w:val="24"/>
                <w:szCs w:val="24"/>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61EB6">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200</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E08D6">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100</w:t>
            </w:r>
          </w:p>
        </w:tc>
      </w:tr>
    </w:tbl>
    <w:p w14:paraId="3F796FB1">
      <w:pPr>
        <w:widowControl/>
        <w:spacing w:before="100" w:beforeAutospacing="1" w:line="300" w:lineRule="auto"/>
        <w:jc w:val="left"/>
        <w:rPr>
          <w:rFonts w:hint="eastAsia" w:ascii="仿宋" w:hAnsi="仿宋" w:eastAsia="仿宋" w:cs="宋体"/>
          <w:b/>
          <w:bCs/>
          <w:kern w:val="0"/>
          <w:sz w:val="32"/>
          <w:szCs w:val="32"/>
        </w:rPr>
      </w:pPr>
      <w:r>
        <w:rPr>
          <w:rFonts w:hint="eastAsia" w:ascii="仿宋" w:hAnsi="仿宋" w:eastAsia="仿宋" w:cs="宋体"/>
          <w:b/>
          <w:bCs/>
          <w:kern w:val="0"/>
          <w:sz w:val="32"/>
          <w:szCs w:val="32"/>
        </w:rPr>
        <w:t>注：市级体育类比赛奖励按照省级C类奖励。</w:t>
      </w:r>
    </w:p>
    <w:p w14:paraId="2C802792">
      <w:pPr>
        <w:keepNext w:val="0"/>
        <w:keepLines w:val="0"/>
        <w:pageBreakBefore w:val="0"/>
        <w:widowControl/>
        <w:kinsoku/>
        <w:wordWrap/>
        <w:overflowPunct/>
        <w:topLinePunct w:val="0"/>
        <w:autoSpaceDE/>
        <w:autoSpaceDN/>
        <w:bidi w:val="0"/>
        <w:adjustRightInd/>
        <w:snapToGrid/>
        <w:spacing w:beforeAutospacing="0" w:line="300" w:lineRule="auto"/>
        <w:ind w:firstLine="643" w:firstLineChars="200"/>
        <w:jc w:val="left"/>
        <w:textAlignment w:val="auto"/>
        <w:rPr>
          <w:rFonts w:ascii="Calibri" w:hAnsi="Calibri" w:eastAsia="仿宋" w:cs="Calibri"/>
          <w:kern w:val="0"/>
          <w:sz w:val="32"/>
          <w:szCs w:val="32"/>
        </w:rPr>
      </w:pPr>
      <w:r>
        <w:rPr>
          <w:rFonts w:hint="eastAsia" w:ascii="仿宋" w:hAnsi="仿宋" w:eastAsia="仿宋" w:cs="宋体"/>
          <w:b/>
          <w:bCs/>
          <w:kern w:val="0"/>
          <w:sz w:val="32"/>
          <w:szCs w:val="32"/>
        </w:rPr>
        <w:t>第十一条</w:t>
      </w:r>
      <w:r>
        <w:rPr>
          <w:rFonts w:hint="eastAsia" w:ascii="仿宋" w:hAnsi="仿宋" w:eastAsia="仿宋" w:cs="宋体"/>
          <w:b/>
          <w:bCs/>
          <w:kern w:val="0"/>
          <w:sz w:val="32"/>
          <w:szCs w:val="32"/>
          <w:lang w:val="en-US" w:eastAsia="zh-CN"/>
        </w:rPr>
        <w:t xml:space="preserve"> </w:t>
      </w:r>
      <w:r>
        <w:rPr>
          <w:rFonts w:hint="eastAsia" w:ascii="Calibri" w:hAnsi="Calibri" w:eastAsia="仿宋" w:cs="Calibri"/>
          <w:kern w:val="0"/>
          <w:sz w:val="32"/>
          <w:szCs w:val="32"/>
        </w:rPr>
        <w:t>奖励认定具体说明</w:t>
      </w:r>
    </w:p>
    <w:p w14:paraId="09B10AFE">
      <w:pPr>
        <w:keepNext w:val="0"/>
        <w:keepLines w:val="0"/>
        <w:pageBreakBefore w:val="0"/>
        <w:widowControl/>
        <w:numPr>
          <w:ilvl w:val="0"/>
          <w:numId w:val="1"/>
        </w:numPr>
        <w:kinsoku/>
        <w:wordWrap/>
        <w:overflowPunct/>
        <w:topLinePunct w:val="0"/>
        <w:autoSpaceDE/>
        <w:autoSpaceDN/>
        <w:bidi w:val="0"/>
        <w:adjustRightInd/>
        <w:snapToGrid/>
        <w:spacing w:beforeAutospacing="0" w:line="300" w:lineRule="auto"/>
        <w:ind w:left="0" w:leftChars="0" w:firstLine="641" w:firstLineChars="0"/>
        <w:jc w:val="left"/>
        <w:textAlignment w:val="auto"/>
        <w:rPr>
          <w:rFonts w:hint="eastAsia" w:ascii="仿宋" w:hAnsi="仿宋" w:eastAsia="仿宋" w:cs="宋体"/>
          <w:kern w:val="0"/>
          <w:sz w:val="32"/>
          <w:szCs w:val="32"/>
        </w:rPr>
      </w:pPr>
      <w:r>
        <w:rPr>
          <w:rFonts w:hint="eastAsia" w:ascii="仿宋" w:hAnsi="仿宋" w:eastAsia="仿宋" w:cs="宋体"/>
          <w:kern w:val="0"/>
          <w:sz w:val="32"/>
          <w:szCs w:val="32"/>
        </w:rPr>
        <w:t>指导教师工作量补贴：参照学校现行《皖江工学院教师工作量计算管理办法（修订）》文件，学科竞赛指导工作量按照类别、指导队伍数等计算工作量。同一项目多次获奖，按照就高不就低的原则，按获得最高赛事等级核发工作量补贴；奖励以每年立项的学科竞赛为准，有指导记录，获奖项目提交证书扫描件，总工作量不超过80分。</w:t>
      </w:r>
      <w:r>
        <w:rPr>
          <w:rFonts w:ascii="仿宋" w:hAnsi="仿宋" w:eastAsia="仿宋" w:cs="宋体"/>
          <w:kern w:val="0"/>
          <w:sz w:val="32"/>
          <w:szCs w:val="32"/>
        </w:rPr>
        <w:t xml:space="preserve"> </w:t>
      </w:r>
    </w:p>
    <w:p w14:paraId="127EDE7B">
      <w:pPr>
        <w:keepNext w:val="0"/>
        <w:keepLines w:val="0"/>
        <w:pageBreakBefore w:val="0"/>
        <w:widowControl/>
        <w:numPr>
          <w:ilvl w:val="0"/>
          <w:numId w:val="1"/>
        </w:numPr>
        <w:kinsoku/>
        <w:wordWrap/>
        <w:overflowPunct/>
        <w:topLinePunct w:val="0"/>
        <w:autoSpaceDE/>
        <w:autoSpaceDN/>
        <w:bidi w:val="0"/>
        <w:adjustRightInd/>
        <w:snapToGrid/>
        <w:spacing w:before="100" w:beforeAutospacing="1" w:line="300" w:lineRule="auto"/>
        <w:ind w:left="-10" w:leftChars="0" w:firstLine="640" w:firstLineChars="0"/>
        <w:jc w:val="left"/>
        <w:textAlignment w:val="auto"/>
        <w:rPr>
          <w:rFonts w:hint="eastAsia" w:ascii="仿宋" w:hAnsi="仿宋" w:eastAsia="仿宋" w:cs="宋体"/>
          <w:kern w:val="0"/>
          <w:sz w:val="32"/>
          <w:szCs w:val="32"/>
        </w:rPr>
      </w:pPr>
      <w:bookmarkStart w:id="1" w:name="_Hlk184115737"/>
      <w:r>
        <w:rPr>
          <w:rFonts w:hint="eastAsia" w:ascii="仿宋" w:hAnsi="仿宋" w:eastAsia="仿宋" w:cs="宋体"/>
          <w:kern w:val="0"/>
          <w:sz w:val="32"/>
          <w:szCs w:val="32"/>
        </w:rPr>
        <w:t>在同一赛事中，同一团队获不同级别奖项，以最高奖计，不累计奖励；</w:t>
      </w:r>
      <w:bookmarkEnd w:id="1"/>
      <w:r>
        <w:rPr>
          <w:rFonts w:hint="eastAsia" w:ascii="仿宋" w:hAnsi="仿宋" w:eastAsia="仿宋" w:cs="宋体"/>
          <w:kern w:val="0"/>
          <w:sz w:val="32"/>
          <w:szCs w:val="32"/>
        </w:rPr>
        <w:t>学生以团队为单位参赛所获奖项的，由指导老师或学生团队负责人根据学生个人贡献大小自行分配奖金；同一项目有两个及以上指导教师，奖金按照个人贡献大小自行分配。</w:t>
      </w:r>
    </w:p>
    <w:p w14:paraId="1EE27BC9">
      <w:pPr>
        <w:keepNext w:val="0"/>
        <w:keepLines w:val="0"/>
        <w:pageBreakBefore w:val="0"/>
        <w:widowControl/>
        <w:numPr>
          <w:ilvl w:val="0"/>
          <w:numId w:val="1"/>
        </w:numPr>
        <w:kinsoku/>
        <w:wordWrap/>
        <w:overflowPunct/>
        <w:topLinePunct w:val="0"/>
        <w:autoSpaceDE/>
        <w:autoSpaceDN/>
        <w:bidi w:val="0"/>
        <w:adjustRightInd/>
        <w:snapToGrid/>
        <w:spacing w:beforeAutospacing="0" w:line="300" w:lineRule="auto"/>
        <w:ind w:left="-10" w:leftChars="0" w:firstLine="640" w:firstLineChars="0"/>
        <w:jc w:val="left"/>
        <w:textAlignment w:val="auto"/>
        <w:rPr>
          <w:rFonts w:hint="eastAsia" w:ascii="仿宋" w:hAnsi="仿宋" w:eastAsia="仿宋" w:cs="宋体"/>
          <w:kern w:val="0"/>
          <w:sz w:val="32"/>
          <w:szCs w:val="32"/>
        </w:rPr>
      </w:pPr>
      <w:r>
        <w:rPr>
          <w:rFonts w:hint="eastAsia" w:ascii="仿宋" w:hAnsi="仿宋" w:eastAsia="仿宋" w:cs="宋体"/>
          <w:kern w:val="0"/>
          <w:sz w:val="32"/>
          <w:szCs w:val="32"/>
        </w:rPr>
        <w:t>没有经过审批同意的人员变更或超项目指导不予以奖励。</w:t>
      </w:r>
    </w:p>
    <w:p w14:paraId="0CBBFF50">
      <w:pPr>
        <w:keepNext w:val="0"/>
        <w:keepLines w:val="0"/>
        <w:pageBreakBefore w:val="0"/>
        <w:widowControl/>
        <w:numPr>
          <w:ilvl w:val="0"/>
          <w:numId w:val="1"/>
        </w:numPr>
        <w:kinsoku/>
        <w:wordWrap/>
        <w:overflowPunct/>
        <w:topLinePunct w:val="0"/>
        <w:autoSpaceDE/>
        <w:autoSpaceDN/>
        <w:bidi w:val="0"/>
        <w:adjustRightInd/>
        <w:snapToGrid/>
        <w:spacing w:beforeAutospacing="0" w:line="300" w:lineRule="auto"/>
        <w:ind w:left="-10" w:leftChars="0" w:firstLine="640" w:firstLineChars="0"/>
        <w:jc w:val="left"/>
        <w:textAlignment w:val="auto"/>
        <w:rPr>
          <w:rFonts w:hint="eastAsia" w:ascii="仿宋" w:hAnsi="仿宋" w:eastAsia="仿宋" w:cs="宋体"/>
          <w:kern w:val="0"/>
          <w:sz w:val="32"/>
          <w:szCs w:val="32"/>
        </w:rPr>
      </w:pPr>
      <w:r>
        <w:rPr>
          <w:rFonts w:hint="eastAsia" w:ascii="仿宋" w:hAnsi="仿宋" w:eastAsia="仿宋" w:cs="宋体"/>
          <w:kern w:val="0"/>
          <w:sz w:val="32"/>
          <w:szCs w:val="32"/>
        </w:rPr>
        <w:t>奖励标准中未体现的竞赛奖励由教学工作委员会认定。</w:t>
      </w:r>
    </w:p>
    <w:p w14:paraId="339649C6">
      <w:pPr>
        <w:keepNext w:val="0"/>
        <w:keepLines w:val="0"/>
        <w:pageBreakBefore w:val="0"/>
        <w:widowControl/>
        <w:numPr>
          <w:ilvl w:val="0"/>
          <w:numId w:val="1"/>
        </w:numPr>
        <w:kinsoku/>
        <w:wordWrap/>
        <w:overflowPunct/>
        <w:topLinePunct w:val="0"/>
        <w:autoSpaceDE/>
        <w:autoSpaceDN/>
        <w:bidi w:val="0"/>
        <w:adjustRightInd/>
        <w:snapToGrid/>
        <w:spacing w:beforeAutospacing="0" w:line="300" w:lineRule="auto"/>
        <w:ind w:left="-10" w:leftChars="0" w:firstLine="640" w:firstLineChars="0"/>
        <w:jc w:val="left"/>
        <w:textAlignment w:val="auto"/>
        <w:rPr>
          <w:rFonts w:hint="eastAsia" w:ascii="仿宋" w:hAnsi="仿宋" w:eastAsia="仿宋" w:cs="仿宋"/>
          <w:spacing w:val="5"/>
          <w:position w:val="3"/>
          <w:sz w:val="32"/>
          <w:szCs w:val="32"/>
        </w:rPr>
      </w:pPr>
      <w:r>
        <w:rPr>
          <w:rFonts w:hint="eastAsia" w:ascii="仿宋" w:hAnsi="仿宋" w:eastAsia="仿宋" w:cs="仿宋"/>
          <w:spacing w:val="12"/>
          <w:sz w:val="32"/>
          <w:szCs w:val="32"/>
        </w:rPr>
        <w:t>“三大赛”国赛获奖项目奖励按照《</w:t>
      </w:r>
      <w:r>
        <w:rPr>
          <w:rFonts w:hint="eastAsia" w:ascii="仿宋" w:hAnsi="仿宋" w:eastAsia="仿宋" w:cs="仿宋"/>
          <w:spacing w:val="16"/>
          <w:position w:val="2"/>
          <w:sz w:val="32"/>
          <w:szCs w:val="32"/>
        </w:rPr>
        <w:t>皖江工学院“三大赛”</w:t>
      </w:r>
      <w:r>
        <w:rPr>
          <w:rFonts w:hint="eastAsia" w:ascii="仿宋" w:hAnsi="仿宋" w:eastAsia="仿宋" w:cs="仿宋"/>
          <w:spacing w:val="5"/>
          <w:position w:val="3"/>
          <w:sz w:val="32"/>
          <w:szCs w:val="32"/>
        </w:rPr>
        <w:t>奖励办法（试行）》文件实行，不再重复申报奖励。</w:t>
      </w:r>
    </w:p>
    <w:p w14:paraId="03922814">
      <w:pPr>
        <w:keepNext w:val="0"/>
        <w:keepLines w:val="0"/>
        <w:pageBreakBefore w:val="0"/>
        <w:widowControl/>
        <w:numPr>
          <w:ilvl w:val="0"/>
          <w:numId w:val="0"/>
        </w:numPr>
        <w:kinsoku/>
        <w:wordWrap/>
        <w:overflowPunct/>
        <w:topLinePunct w:val="0"/>
        <w:autoSpaceDE/>
        <w:autoSpaceDN/>
        <w:bidi w:val="0"/>
        <w:adjustRightInd/>
        <w:snapToGrid/>
        <w:spacing w:beforeAutospacing="0" w:line="300" w:lineRule="auto"/>
        <w:ind w:left="630" w:leftChars="0"/>
        <w:jc w:val="center"/>
        <w:textAlignment w:val="auto"/>
        <w:rPr>
          <w:rFonts w:hint="eastAsia" w:ascii="黑体" w:hAnsi="黑体" w:eastAsia="黑体" w:cs="宋体"/>
          <w:b w:val="0"/>
          <w:bCs w:val="0"/>
          <w:color w:val="000000"/>
          <w:kern w:val="0"/>
          <w:sz w:val="32"/>
          <w:szCs w:val="32"/>
        </w:rPr>
      </w:pPr>
      <w:r>
        <w:rPr>
          <w:rFonts w:hint="eastAsia" w:ascii="黑体" w:hAnsi="黑体" w:eastAsia="黑体" w:cs="宋体"/>
          <w:b w:val="0"/>
          <w:bCs w:val="0"/>
          <w:color w:val="000000"/>
          <w:kern w:val="0"/>
          <w:sz w:val="32"/>
          <w:szCs w:val="32"/>
        </w:rPr>
        <w:t>第六章 奖励申报和认定程序</w:t>
      </w:r>
    </w:p>
    <w:p w14:paraId="19182BAF">
      <w:pPr>
        <w:keepNext w:val="0"/>
        <w:keepLines w:val="0"/>
        <w:pageBreakBefore w:val="0"/>
        <w:widowControl/>
        <w:kinsoku/>
        <w:wordWrap/>
        <w:overflowPunct/>
        <w:topLinePunct w:val="0"/>
        <w:autoSpaceDE/>
        <w:autoSpaceDN/>
        <w:bidi w:val="0"/>
        <w:adjustRightInd/>
        <w:snapToGrid/>
        <w:spacing w:beforeAutospacing="0" w:afterAutospacing="0"/>
        <w:ind w:firstLine="482"/>
        <w:jc w:val="left"/>
        <w:textAlignment w:val="auto"/>
        <w:rPr>
          <w:rFonts w:hint="eastAsia" w:ascii="宋体" w:hAnsi="宋体" w:eastAsia="宋体" w:cs="宋体"/>
          <w:kern w:val="0"/>
          <w:sz w:val="24"/>
          <w:szCs w:val="24"/>
        </w:rPr>
      </w:pPr>
      <w:r>
        <w:rPr>
          <w:rFonts w:hint="eastAsia" w:ascii="Calibri" w:hAnsi="Calibri" w:eastAsia="仿宋" w:cs="Calibri"/>
          <w:b/>
          <w:bCs/>
          <w:kern w:val="0"/>
          <w:sz w:val="32"/>
          <w:szCs w:val="32"/>
        </w:rPr>
        <w:t>第十二条</w:t>
      </w:r>
      <w:r>
        <w:rPr>
          <w:rFonts w:hint="eastAsia" w:ascii="Calibri" w:hAnsi="Calibri" w:eastAsia="仿宋" w:cs="Calibri"/>
          <w:b/>
          <w:bCs/>
          <w:kern w:val="0"/>
          <w:sz w:val="32"/>
          <w:szCs w:val="32"/>
          <w:lang w:val="en-US" w:eastAsia="zh-CN"/>
        </w:rPr>
        <w:t xml:space="preserve"> </w:t>
      </w:r>
      <w:r>
        <w:rPr>
          <w:rFonts w:hint="eastAsia" w:ascii="Calibri" w:hAnsi="Calibri" w:eastAsia="仿宋" w:cs="Calibri"/>
          <w:kern w:val="0"/>
          <w:sz w:val="32"/>
          <w:szCs w:val="32"/>
        </w:rPr>
        <w:t>学科竞赛奖励实时进行核算，获奖集体或个人拿到获奖证书后均须向所在部门申报，经部门负责人审查签字后统一将申报汇总表及有关竞赛文件、竞赛获奖证书原件（扫描件）、奖杯实物（照片）送至教务部核实、备案。</w:t>
      </w:r>
    </w:p>
    <w:p w14:paraId="4F5096B0">
      <w:pPr>
        <w:keepNext w:val="0"/>
        <w:keepLines w:val="0"/>
        <w:pageBreakBefore w:val="0"/>
        <w:widowControl/>
        <w:kinsoku/>
        <w:wordWrap/>
        <w:overflowPunct/>
        <w:topLinePunct w:val="0"/>
        <w:autoSpaceDE/>
        <w:autoSpaceDN/>
        <w:bidi w:val="0"/>
        <w:adjustRightInd/>
        <w:snapToGrid/>
        <w:spacing w:beforeAutospacing="0" w:afterAutospacing="0"/>
        <w:ind w:firstLine="482"/>
        <w:jc w:val="left"/>
        <w:textAlignment w:val="auto"/>
        <w:rPr>
          <w:rFonts w:hint="eastAsia" w:ascii="宋体" w:hAnsi="宋体" w:eastAsia="宋体" w:cs="宋体"/>
          <w:kern w:val="0"/>
          <w:sz w:val="24"/>
          <w:szCs w:val="24"/>
        </w:rPr>
      </w:pPr>
      <w:r>
        <w:rPr>
          <w:rFonts w:hint="eastAsia" w:ascii="Calibri" w:hAnsi="Calibri" w:eastAsia="仿宋" w:cs="Calibri"/>
          <w:b/>
          <w:bCs/>
          <w:kern w:val="0"/>
          <w:sz w:val="32"/>
          <w:szCs w:val="32"/>
        </w:rPr>
        <w:t>第十三条</w:t>
      </w:r>
      <w:r>
        <w:rPr>
          <w:rFonts w:hint="eastAsia" w:ascii="Calibri" w:hAnsi="Calibri" w:eastAsia="仿宋" w:cs="Calibri"/>
          <w:b/>
          <w:bCs/>
          <w:kern w:val="0"/>
          <w:sz w:val="32"/>
          <w:szCs w:val="32"/>
          <w:lang w:val="en-US" w:eastAsia="zh-CN"/>
        </w:rPr>
        <w:t xml:space="preserve"> </w:t>
      </w:r>
      <w:r>
        <w:rPr>
          <w:rFonts w:hint="eastAsia" w:ascii="Calibri" w:hAnsi="Calibri" w:eastAsia="仿宋" w:cs="Calibri"/>
          <w:kern w:val="0"/>
          <w:sz w:val="32"/>
          <w:szCs w:val="32"/>
        </w:rPr>
        <w:t>每批次申报工作结束后，教务部组织审核，审核通过后由财务部发放奖金给获奖学生及教师</w:t>
      </w:r>
      <w:r>
        <w:rPr>
          <w:rFonts w:hint="eastAsia" w:ascii="仿宋_GB2312" w:hAnsi="宋体" w:eastAsia="仿宋_GB2312" w:cs="宋体"/>
          <w:kern w:val="0"/>
          <w:sz w:val="24"/>
          <w:szCs w:val="24"/>
        </w:rPr>
        <w:t>。</w:t>
      </w:r>
    </w:p>
    <w:p w14:paraId="61B1CE0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黑体" w:hAnsi="黑体" w:eastAsia="黑体" w:cs="宋体"/>
          <w:b w:val="0"/>
          <w:bCs w:val="0"/>
          <w:color w:val="000000"/>
          <w:kern w:val="0"/>
          <w:sz w:val="32"/>
          <w:szCs w:val="32"/>
        </w:rPr>
      </w:pPr>
      <w:r>
        <w:rPr>
          <w:rFonts w:hint="eastAsia" w:ascii="黑体" w:hAnsi="黑体" w:eastAsia="黑体" w:cs="宋体"/>
          <w:b w:val="0"/>
          <w:bCs w:val="0"/>
          <w:color w:val="000000"/>
          <w:kern w:val="0"/>
          <w:sz w:val="32"/>
          <w:szCs w:val="32"/>
        </w:rPr>
        <w:t>第七章 附 则</w:t>
      </w:r>
    </w:p>
    <w:p w14:paraId="7D39D88D">
      <w:pPr>
        <w:ind w:firstLine="643" w:firstLineChars="200"/>
        <w:rPr>
          <w:rFonts w:hint="eastAsia" w:ascii="仿宋" w:hAnsi="仿宋" w:eastAsia="仿宋" w:cs="仿宋"/>
          <w:sz w:val="32"/>
          <w:szCs w:val="32"/>
        </w:rPr>
      </w:pPr>
      <w:r>
        <w:rPr>
          <w:rFonts w:hint="eastAsia" w:ascii="仿宋" w:hAnsi="仿宋" w:eastAsia="仿宋" w:cs="宋体"/>
          <w:b/>
          <w:bCs/>
          <w:kern w:val="0"/>
          <w:sz w:val="32"/>
          <w:szCs w:val="32"/>
        </w:rPr>
        <w:t>第十四条</w:t>
      </w:r>
      <w:r>
        <w:rPr>
          <w:rFonts w:hint="eastAsia" w:ascii="仿宋" w:hAnsi="仿宋" w:eastAsia="仿宋" w:cs="宋体"/>
          <w:b/>
          <w:bCs/>
          <w:kern w:val="0"/>
          <w:sz w:val="32"/>
          <w:szCs w:val="32"/>
          <w:lang w:val="en-US" w:eastAsia="zh-CN"/>
        </w:rPr>
        <w:t xml:space="preserve"> </w:t>
      </w:r>
      <w:r>
        <w:rPr>
          <w:rFonts w:hint="eastAsia" w:ascii="仿宋" w:hAnsi="仿宋" w:eastAsia="仿宋" w:cs="宋体"/>
          <w:kern w:val="0"/>
          <w:sz w:val="32"/>
          <w:szCs w:val="32"/>
        </w:rPr>
        <w:t>本办法自发布之日起实施，</w:t>
      </w:r>
      <w:r>
        <w:rPr>
          <w:rFonts w:hint="eastAsia" w:ascii="仿宋" w:hAnsi="仿宋" w:eastAsia="仿宋" w:cs="仿宋"/>
          <w:sz w:val="32"/>
          <w:szCs w:val="32"/>
        </w:rPr>
        <w:t>原《皖江工学院学科竞赛管理办法》的通知（皖工校政〔2024〕13号）自动废止。其他有关文件条款与本办法不一致的以本办法为准。</w:t>
      </w:r>
    </w:p>
    <w:p w14:paraId="36C756DC">
      <w:pPr>
        <w:rPr>
          <w:rFonts w:hint="eastAsia"/>
        </w:rPr>
      </w:pPr>
    </w:p>
    <w:p w14:paraId="3F70DC88">
      <w:pPr>
        <w:rPr>
          <w:rFonts w:hint="eastAsia"/>
          <w:sz w:val="30"/>
          <w:szCs w:val="30"/>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DD2C40">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9A5119">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49A5119">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7F1131"/>
    <w:multiLevelType w:val="singleLevel"/>
    <w:tmpl w:val="7A7F1131"/>
    <w:lvl w:ilvl="0" w:tentative="0">
      <w:start w:val="1"/>
      <w:numFmt w:val="decimal"/>
      <w:suff w:val="nothing"/>
      <w:lvlText w:val="（%1）"/>
      <w:lvlJc w:val="left"/>
      <w:pPr>
        <w:ind w:left="-1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UyNTc3YzA0NTc0NzA4MGVmODI3NjE1OTcwMmE5ZDkifQ=="/>
  </w:docVars>
  <w:rsids>
    <w:rsidRoot w:val="008D59F9"/>
    <w:rsid w:val="00002FEF"/>
    <w:rsid w:val="0000598E"/>
    <w:rsid w:val="0001659B"/>
    <w:rsid w:val="00024B34"/>
    <w:rsid w:val="0002585F"/>
    <w:rsid w:val="00031808"/>
    <w:rsid w:val="00035DCB"/>
    <w:rsid w:val="0004761A"/>
    <w:rsid w:val="00051F39"/>
    <w:rsid w:val="00053C46"/>
    <w:rsid w:val="00061283"/>
    <w:rsid w:val="000743CA"/>
    <w:rsid w:val="00094E1E"/>
    <w:rsid w:val="000A1D81"/>
    <w:rsid w:val="000A7A04"/>
    <w:rsid w:val="000C1D25"/>
    <w:rsid w:val="000D3DF1"/>
    <w:rsid w:val="000F2656"/>
    <w:rsid w:val="000F5826"/>
    <w:rsid w:val="000F5C1C"/>
    <w:rsid w:val="00107001"/>
    <w:rsid w:val="00123F25"/>
    <w:rsid w:val="001406E2"/>
    <w:rsid w:val="001469E9"/>
    <w:rsid w:val="00150DE8"/>
    <w:rsid w:val="00156C4F"/>
    <w:rsid w:val="00160BFC"/>
    <w:rsid w:val="0018593A"/>
    <w:rsid w:val="0019545F"/>
    <w:rsid w:val="001D4D12"/>
    <w:rsid w:val="001E0DEA"/>
    <w:rsid w:val="002055B8"/>
    <w:rsid w:val="00221CFB"/>
    <w:rsid w:val="002261DD"/>
    <w:rsid w:val="00233A3C"/>
    <w:rsid w:val="002451CD"/>
    <w:rsid w:val="00250EF9"/>
    <w:rsid w:val="0026493A"/>
    <w:rsid w:val="00280D45"/>
    <w:rsid w:val="00291566"/>
    <w:rsid w:val="002941D8"/>
    <w:rsid w:val="002A3061"/>
    <w:rsid w:val="002C0864"/>
    <w:rsid w:val="002D2220"/>
    <w:rsid w:val="00302F57"/>
    <w:rsid w:val="00311F9A"/>
    <w:rsid w:val="003251E4"/>
    <w:rsid w:val="003448B8"/>
    <w:rsid w:val="003741F4"/>
    <w:rsid w:val="0037453E"/>
    <w:rsid w:val="00387787"/>
    <w:rsid w:val="003B0A44"/>
    <w:rsid w:val="003C5C1D"/>
    <w:rsid w:val="003D2775"/>
    <w:rsid w:val="003D6F1B"/>
    <w:rsid w:val="003E3028"/>
    <w:rsid w:val="003F2621"/>
    <w:rsid w:val="00413ECE"/>
    <w:rsid w:val="00455F4E"/>
    <w:rsid w:val="00457618"/>
    <w:rsid w:val="004729E7"/>
    <w:rsid w:val="00472BED"/>
    <w:rsid w:val="00493DB2"/>
    <w:rsid w:val="004B0A66"/>
    <w:rsid w:val="004B28A5"/>
    <w:rsid w:val="004C1DA0"/>
    <w:rsid w:val="004D0D88"/>
    <w:rsid w:val="004E4E46"/>
    <w:rsid w:val="004F0200"/>
    <w:rsid w:val="00503505"/>
    <w:rsid w:val="00504DA6"/>
    <w:rsid w:val="005127A0"/>
    <w:rsid w:val="00513233"/>
    <w:rsid w:val="005270C0"/>
    <w:rsid w:val="0055078E"/>
    <w:rsid w:val="00560BA0"/>
    <w:rsid w:val="005671A3"/>
    <w:rsid w:val="005718CD"/>
    <w:rsid w:val="00572BC5"/>
    <w:rsid w:val="00575EFA"/>
    <w:rsid w:val="00581C42"/>
    <w:rsid w:val="005A1033"/>
    <w:rsid w:val="005B2EF3"/>
    <w:rsid w:val="005B6A4C"/>
    <w:rsid w:val="005C5BF6"/>
    <w:rsid w:val="005E3B6F"/>
    <w:rsid w:val="005E4371"/>
    <w:rsid w:val="005E7B62"/>
    <w:rsid w:val="00607267"/>
    <w:rsid w:val="00613306"/>
    <w:rsid w:val="00626AF3"/>
    <w:rsid w:val="006506F3"/>
    <w:rsid w:val="00660E88"/>
    <w:rsid w:val="00671A75"/>
    <w:rsid w:val="00680F61"/>
    <w:rsid w:val="0068210B"/>
    <w:rsid w:val="006A3020"/>
    <w:rsid w:val="006A5AF5"/>
    <w:rsid w:val="006A76CA"/>
    <w:rsid w:val="006C307D"/>
    <w:rsid w:val="006C3838"/>
    <w:rsid w:val="006C4FF0"/>
    <w:rsid w:val="006C610E"/>
    <w:rsid w:val="006D0731"/>
    <w:rsid w:val="006E11B7"/>
    <w:rsid w:val="006F434C"/>
    <w:rsid w:val="006F692C"/>
    <w:rsid w:val="00732093"/>
    <w:rsid w:val="00735D29"/>
    <w:rsid w:val="007361FE"/>
    <w:rsid w:val="00743B0A"/>
    <w:rsid w:val="0076353B"/>
    <w:rsid w:val="007653CD"/>
    <w:rsid w:val="00770E45"/>
    <w:rsid w:val="007905F0"/>
    <w:rsid w:val="007D6593"/>
    <w:rsid w:val="007F20FA"/>
    <w:rsid w:val="00822D02"/>
    <w:rsid w:val="0082567C"/>
    <w:rsid w:val="008355C4"/>
    <w:rsid w:val="00846DFD"/>
    <w:rsid w:val="0086088B"/>
    <w:rsid w:val="00871239"/>
    <w:rsid w:val="008821CB"/>
    <w:rsid w:val="00891D49"/>
    <w:rsid w:val="008A248E"/>
    <w:rsid w:val="008A3469"/>
    <w:rsid w:val="008B5720"/>
    <w:rsid w:val="008B7BB9"/>
    <w:rsid w:val="008D59F9"/>
    <w:rsid w:val="008D6EEB"/>
    <w:rsid w:val="008E38B0"/>
    <w:rsid w:val="008E423F"/>
    <w:rsid w:val="008E7882"/>
    <w:rsid w:val="008F1773"/>
    <w:rsid w:val="008F3542"/>
    <w:rsid w:val="0090617F"/>
    <w:rsid w:val="00912522"/>
    <w:rsid w:val="00923674"/>
    <w:rsid w:val="00931DBB"/>
    <w:rsid w:val="009374E2"/>
    <w:rsid w:val="00941607"/>
    <w:rsid w:val="00941B4E"/>
    <w:rsid w:val="0094207D"/>
    <w:rsid w:val="009765CF"/>
    <w:rsid w:val="009A071B"/>
    <w:rsid w:val="009A087B"/>
    <w:rsid w:val="009B0947"/>
    <w:rsid w:val="00A03087"/>
    <w:rsid w:val="00A10E02"/>
    <w:rsid w:val="00A21215"/>
    <w:rsid w:val="00A21240"/>
    <w:rsid w:val="00A26846"/>
    <w:rsid w:val="00A35C8F"/>
    <w:rsid w:val="00A40483"/>
    <w:rsid w:val="00AA0923"/>
    <w:rsid w:val="00AC4EBD"/>
    <w:rsid w:val="00AC7F04"/>
    <w:rsid w:val="00AD62F6"/>
    <w:rsid w:val="00AE3837"/>
    <w:rsid w:val="00AF2263"/>
    <w:rsid w:val="00AF6B49"/>
    <w:rsid w:val="00B3051E"/>
    <w:rsid w:val="00B33BF1"/>
    <w:rsid w:val="00B34027"/>
    <w:rsid w:val="00B40479"/>
    <w:rsid w:val="00B45E32"/>
    <w:rsid w:val="00B8480E"/>
    <w:rsid w:val="00BB3297"/>
    <w:rsid w:val="00BB6AB9"/>
    <w:rsid w:val="00BD056F"/>
    <w:rsid w:val="00BD2759"/>
    <w:rsid w:val="00BD6433"/>
    <w:rsid w:val="00BF1793"/>
    <w:rsid w:val="00C22CC8"/>
    <w:rsid w:val="00C2708D"/>
    <w:rsid w:val="00C34921"/>
    <w:rsid w:val="00C44E39"/>
    <w:rsid w:val="00C474B6"/>
    <w:rsid w:val="00C67417"/>
    <w:rsid w:val="00C74898"/>
    <w:rsid w:val="00C83636"/>
    <w:rsid w:val="00CA4A7A"/>
    <w:rsid w:val="00CA6EBC"/>
    <w:rsid w:val="00CC5867"/>
    <w:rsid w:val="00CE7FEC"/>
    <w:rsid w:val="00D0386F"/>
    <w:rsid w:val="00D15873"/>
    <w:rsid w:val="00D177AD"/>
    <w:rsid w:val="00D238EB"/>
    <w:rsid w:val="00D307E2"/>
    <w:rsid w:val="00D33D62"/>
    <w:rsid w:val="00D353B9"/>
    <w:rsid w:val="00D522DB"/>
    <w:rsid w:val="00D53DE5"/>
    <w:rsid w:val="00D7290E"/>
    <w:rsid w:val="00DB3CA3"/>
    <w:rsid w:val="00DC050E"/>
    <w:rsid w:val="00DC7B33"/>
    <w:rsid w:val="00DD5743"/>
    <w:rsid w:val="00DF3F45"/>
    <w:rsid w:val="00E02359"/>
    <w:rsid w:val="00E051AF"/>
    <w:rsid w:val="00E132C8"/>
    <w:rsid w:val="00E357A9"/>
    <w:rsid w:val="00E425EC"/>
    <w:rsid w:val="00E61E49"/>
    <w:rsid w:val="00E675A7"/>
    <w:rsid w:val="00E72833"/>
    <w:rsid w:val="00E7316B"/>
    <w:rsid w:val="00E77A70"/>
    <w:rsid w:val="00E90899"/>
    <w:rsid w:val="00E93BC6"/>
    <w:rsid w:val="00EA3C1E"/>
    <w:rsid w:val="00EA682B"/>
    <w:rsid w:val="00EB2170"/>
    <w:rsid w:val="00EC3C07"/>
    <w:rsid w:val="00ED6E7B"/>
    <w:rsid w:val="00EF61CC"/>
    <w:rsid w:val="00F10310"/>
    <w:rsid w:val="00F17EBD"/>
    <w:rsid w:val="00F2264C"/>
    <w:rsid w:val="00F226B0"/>
    <w:rsid w:val="00F372CE"/>
    <w:rsid w:val="00F50384"/>
    <w:rsid w:val="00F60961"/>
    <w:rsid w:val="00FA05D6"/>
    <w:rsid w:val="00FA1945"/>
    <w:rsid w:val="00FC64C0"/>
    <w:rsid w:val="030336AB"/>
    <w:rsid w:val="07371D13"/>
    <w:rsid w:val="0A434869"/>
    <w:rsid w:val="0CF54541"/>
    <w:rsid w:val="0E1F739B"/>
    <w:rsid w:val="0EF75897"/>
    <w:rsid w:val="131B2827"/>
    <w:rsid w:val="146975C2"/>
    <w:rsid w:val="15A9580A"/>
    <w:rsid w:val="18AA2E4C"/>
    <w:rsid w:val="19437116"/>
    <w:rsid w:val="1C3347F3"/>
    <w:rsid w:val="1C356329"/>
    <w:rsid w:val="1C76287C"/>
    <w:rsid w:val="1CF41996"/>
    <w:rsid w:val="1CF424CD"/>
    <w:rsid w:val="1D8E3BF5"/>
    <w:rsid w:val="1DF148B0"/>
    <w:rsid w:val="1E5C1623"/>
    <w:rsid w:val="1F5E463F"/>
    <w:rsid w:val="1FBF3AD7"/>
    <w:rsid w:val="21DA72F6"/>
    <w:rsid w:val="22FE5379"/>
    <w:rsid w:val="23CE7442"/>
    <w:rsid w:val="27567E78"/>
    <w:rsid w:val="276C4FA7"/>
    <w:rsid w:val="28716D20"/>
    <w:rsid w:val="299E754F"/>
    <w:rsid w:val="2B776E70"/>
    <w:rsid w:val="2C097269"/>
    <w:rsid w:val="2EC701BE"/>
    <w:rsid w:val="301F05EF"/>
    <w:rsid w:val="34126ED7"/>
    <w:rsid w:val="39685B45"/>
    <w:rsid w:val="3B1325C1"/>
    <w:rsid w:val="3C667DC0"/>
    <w:rsid w:val="3C885F88"/>
    <w:rsid w:val="3D5738C2"/>
    <w:rsid w:val="4093008C"/>
    <w:rsid w:val="40FA36AB"/>
    <w:rsid w:val="41EC6FB9"/>
    <w:rsid w:val="435C029A"/>
    <w:rsid w:val="438F3899"/>
    <w:rsid w:val="43D321DE"/>
    <w:rsid w:val="43D736D0"/>
    <w:rsid w:val="45575091"/>
    <w:rsid w:val="49F20EE5"/>
    <w:rsid w:val="4AF87040"/>
    <w:rsid w:val="4C3503D3"/>
    <w:rsid w:val="4DB73152"/>
    <w:rsid w:val="50845824"/>
    <w:rsid w:val="53B23102"/>
    <w:rsid w:val="554A04C4"/>
    <w:rsid w:val="56B440F1"/>
    <w:rsid w:val="5A0013FC"/>
    <w:rsid w:val="5A054C64"/>
    <w:rsid w:val="5A9D6C4B"/>
    <w:rsid w:val="5F220606"/>
    <w:rsid w:val="5F6A3B72"/>
    <w:rsid w:val="60B46A9C"/>
    <w:rsid w:val="614538A0"/>
    <w:rsid w:val="63FE69AC"/>
    <w:rsid w:val="66263F98"/>
    <w:rsid w:val="67B00EF8"/>
    <w:rsid w:val="686D2352"/>
    <w:rsid w:val="6ADD2C7C"/>
    <w:rsid w:val="6DDA0573"/>
    <w:rsid w:val="718F3339"/>
    <w:rsid w:val="75D21A46"/>
    <w:rsid w:val="76313998"/>
    <w:rsid w:val="78054355"/>
    <w:rsid w:val="780D4FB8"/>
    <w:rsid w:val="78580BBB"/>
    <w:rsid w:val="785D6CAA"/>
    <w:rsid w:val="78F87A16"/>
    <w:rsid w:val="7AE93343"/>
    <w:rsid w:val="7CC70CBE"/>
    <w:rsid w:val="7DD547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left="720"/>
      <w:contextualSpacing/>
    </w:pPr>
  </w:style>
  <w:style w:type="character" w:customStyle="1" w:styleId="7">
    <w:name w:val="页眉 字符"/>
    <w:basedOn w:val="5"/>
    <w:link w:val="3"/>
    <w:qFormat/>
    <w:uiPriority w:val="99"/>
    <w:rPr>
      <w:sz w:val="18"/>
      <w:szCs w:val="18"/>
    </w:rPr>
  </w:style>
  <w:style w:type="character" w:customStyle="1" w:styleId="8">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4555</Words>
  <Characters>4678</Characters>
  <Lines>34</Lines>
  <Paragraphs>9</Paragraphs>
  <TotalTime>27</TotalTime>
  <ScaleCrop>false</ScaleCrop>
  <LinksUpToDate>false</LinksUpToDate>
  <CharactersWithSpaces>4731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2024-12-23T00:26:00Z</dcterms:created>
  <dc:creator>292074074@qq.com</dc:creator>
  <cp:lastModifiedBy>文天学院王二小</cp:lastModifiedBy>
  <cp:lastPrinted>2024-12-03T03:02:00Z</cp:lastPrinted>
  <dcterms:modified xsi:type="dcterms:W3CDTF">2025-01-06T03:17:46Z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927ADAB9CB5049DBB82DE23752A07E32_13</vt:lpwstr>
  </property>
  <property fmtid="{D5CDD505-2E9C-101B-9397-08002B2CF9AE}" pid="4" name="KSOTemplateDocerSaveRecord">
    <vt:lpwstr>eyJoZGlkIjoiYWJkMjM3MDZmNWIxZDY4YTI0NTZmZDE1ODg3MzMyZDgiLCJ1c2VySWQiOiIzODU1Mjk2MjYifQ==</vt:lpwstr>
  </property>
</Properties>
</file>