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皖工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</w:t>
      </w:r>
    </w:p>
    <w:p>
      <w:pPr>
        <w:tabs>
          <w:tab w:val="left" w:pos="1722"/>
        </w:tabs>
        <w:snapToGrid w:val="0"/>
        <w:spacing w:line="560" w:lineRule="exact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1722"/>
        </w:tabs>
        <w:snapToGrid w:val="0"/>
        <w:spacing w:line="560" w:lineRule="exact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关于做好2023-2024学年第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学期</w:t>
      </w:r>
    </w:p>
    <w:p>
      <w:pPr>
        <w:spacing w:line="54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开学教学检查工作的通知</w:t>
      </w:r>
    </w:p>
    <w:p>
      <w:pPr>
        <w:spacing w:line="540" w:lineRule="exact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院（部）：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为了规范教学管理，加强教学质量监控，确保各教学环节质量，学校定于第1周（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日）在全校范围内开展开学教学检查。现将本次开学教学检查工作有关事宜通知如下：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一、检查主要内容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1.教学准备情况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协同教务部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后勤保障部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等部门检查开学教学保障及教学准备情况。主要检查教室环境、教学用具配备、多媒体教室的教学设施及设备、教师休息室条件配备、教材到位、图书馆等与教学相关情况。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2.教学秩序情况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检查任课教师到课情况和学生出勤情况。主要包括上课教室安排及容量是否冲突、任课教师到课情况（有无迟到、早退、擅自调课情况等）、学生出勤率等。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3.课堂教学及补考情况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检查任课教师（含实验、实践课）教材、教案、点名册、教学周历、课件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等教学文件的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准备情况及规范程度，以确保授课质量；检查教研室工作计划制定、集体备课等情况；检查补考的组织与安排。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4.实验室情况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各教学院（部）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自查所分管的实验室各类仪器和设备的运行状况、实验室安全及公共卫生情况，针对自查中存在的安全隐患和存在的问题，及时进行整改。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级毕业设计（论文）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重点检查20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级毕业设计（论文）的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进度情况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二、检查工作方法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1.学校成立开学教学检查工作组，由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常务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副校长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郑明东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任组长，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评建办、教务部负责人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及各教学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为成员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开学第一周，请工作组所有成员按照时间安排，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深入各个教学楼进行检查，确保开学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教学活动正常开展。具体分工如下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教学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调度办公室设在F-203，负责人（电话）：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汪彩兰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5222011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）。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5"/>
        <w:tblW w:w="89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2030"/>
        <w:gridCol w:w="2680"/>
        <w:gridCol w:w="1390"/>
        <w:gridCol w:w="23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检查人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员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秘书(电话)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周一（2月26日）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郑明东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、胡明、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余明江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霍里山校区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刘竹林（13365556622）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周二（2月27日）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怀宁、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、方承武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胡徐胜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霍里山校区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陈天豪（18861868666）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周三（2月28日）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徐德信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葛文生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霍里山校区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梅洁（17355561214）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周四（2月29日）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乔晓华、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霍里山校区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陆文镔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（18900653737）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周五（3月1日）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唐德高、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伍旭坤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黄翠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霍里山校区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杨杨（18355556380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周一至周五（2月26日至3月1日）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王思奇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郑蒲港校区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谢芳（18156562251）</w:t>
            </w:r>
          </w:p>
        </w:tc>
      </w:tr>
    </w:tbl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2.各教学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成立教学检查小组，拟定本单位开学教学检查实施方案，做好本单位教学自查工作，全面检查教师教学准备、学生学习情况和实验室准备情况，对教学检查中发现的问题进行分析研究。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将检查结果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反馈给各相关单位，并要求限期整改。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三、检查工作要求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1.各单位要高度重视开学检查工作，精心组织，周密安排，确保各项检查工作落到实处。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2.教学检查期间构成教学事故的按有关文件处理。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3.本学期的课程表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已经公布在钉钉平台和教务部主页“教务公告”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，以便相关人员下载查阅。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4.请各级领导自行安排听课时间与地点并及时填写“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皖江工学院课堂教学评价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记录表”（见附件1），一周内将表格交至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（F21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各教学院（部）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日前将听课记录汇总表（附件2）、实验室自查情况汇总表（见附件3）及检查总结（电子版及纸质版）报至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（F21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附件1：皖江工学院听课记录表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附件2：皖江工学院听课记录汇总表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附件3：皖江工学院开学实验室自查情况汇总表   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皖江工学院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评估建设工作办公室</w:t>
      </w:r>
    </w:p>
    <w:p>
      <w:pPr>
        <w:widowControl/>
        <w:spacing w:line="5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320" w:firstLineChars="100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pgNumType w:fmt="numberInDash" w:start="1"/>
          <w:cols w:space="720" w:num="1"/>
          <w:docGrid w:type="lines" w:linePitch="360" w:charSpace="0"/>
        </w:sect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8pt;height:0pt;width:414pt;z-index:251661312;mso-width-relative:page;mso-height-relative:page;" filled="f" stroked="t" coordsize="21600,21600" o:gfxdata="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lrOifT&#10;AAAABgEAAA8AAAAAAAAAAQAgAAAAIgAAAGRycy9kb3ducmV2LnhtbFBLAQIUABQAAAAIAIdO4kAU&#10;QWAU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lhV/3QAAAA&#10;AgEAAA8AAAAAAAAAAQAgAAAAIgAAAGRycy9kb3ducmV2LnhtbFBLAQIUABQAAAAIAIdO4kAcerQ0&#10;7AEAANgDAAAOAAAAAAAAAAEAIAAAAB8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皖江工学院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日印</w:t>
      </w:r>
    </w:p>
    <w:p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皖江工</w:t>
      </w:r>
      <w:r>
        <w:rPr>
          <w:rFonts w:hint="eastAsia" w:ascii="宋体" w:hAnsi="宋体" w:cs="宋体"/>
          <w:b/>
          <w:sz w:val="32"/>
          <w:szCs w:val="32"/>
        </w:rPr>
        <w:t>学</w:t>
      </w:r>
      <w:r>
        <w:rPr>
          <w:rFonts w:hint="eastAsia" w:ascii="宋体" w:hAnsi="宋体" w:cs="Dotum"/>
          <w:b/>
          <w:sz w:val="32"/>
          <w:szCs w:val="32"/>
        </w:rPr>
        <w:t>院</w:t>
      </w:r>
      <w:r>
        <w:rPr>
          <w:rFonts w:hint="eastAsia" w:ascii="宋体" w:hAnsi="宋体" w:cs="Dotum"/>
          <w:b/>
          <w:sz w:val="32"/>
          <w:szCs w:val="32"/>
          <w:lang w:val="en-US" w:eastAsia="zh-CN"/>
        </w:rPr>
        <w:t>课堂教学评价</w:t>
      </w:r>
      <w:r>
        <w:rPr>
          <w:rFonts w:hint="eastAsia" w:ascii="宋体" w:hAnsi="宋体" w:cs="宋体"/>
          <w:b/>
          <w:sz w:val="32"/>
          <w:szCs w:val="32"/>
        </w:rPr>
        <w:t>记录</w:t>
      </w:r>
      <w:r>
        <w:rPr>
          <w:rFonts w:hint="eastAsia" w:ascii="宋体" w:hAnsi="宋体" w:cs="Dotum"/>
          <w:b/>
          <w:sz w:val="32"/>
          <w:szCs w:val="32"/>
        </w:rPr>
        <w:t>表</w:t>
      </w:r>
    </w:p>
    <w:tbl>
      <w:tblPr>
        <w:tblStyle w:val="5"/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395"/>
        <w:gridCol w:w="1083"/>
        <w:gridCol w:w="2416"/>
        <w:gridCol w:w="863"/>
        <w:gridCol w:w="725"/>
        <w:gridCol w:w="954"/>
        <w:gridCol w:w="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6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Style w:val="11"/>
                <w:lang w:val="en-US" w:eastAsia="zh-CN" w:bidi="ar"/>
              </w:rPr>
              <w:t>学年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>学期  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1"/>
                <w:lang w:val="en-US" w:eastAsia="zh-CN" w:bidi="ar"/>
              </w:rPr>
              <w:t>周  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 xml:space="preserve">节     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仪容仪表得体，衣着整齐、举止大方。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课堂教学体现立德树人思想。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教学准备充分，教学档案齐全，严格遵守相关纪律。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教学内容丰富，重点、难点突出。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将实际问题、学科前沿、工程实践等融入课堂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（新上课教师不扣分）。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讲解深入浅出，语言表达清晰，教学进程合理，不照本宣科。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教学特色鲜明，采用研究性、探讨式、体验式、案例式等教学方法，注重学生能力培养。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板书规范，充分利用现代化教学手段，课件质量高。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学生认真听讲，师生积极互动，气氛活跃有序。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课堂管理严格，能及时制止各种影响课堂纪律行为。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有课堂总结，合理布置课外学习任务，引导学生课后自主学习，并能及时反馈学生学习需求。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总得分</w:t>
            </w: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教学设施情况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议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53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签名：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sz w:val="24"/>
          <w:szCs w:val="24"/>
        </w:rPr>
        <w:t>附件2：</w:t>
      </w:r>
    </w:p>
    <w:p>
      <w:pPr>
        <w:spacing w:line="500" w:lineRule="exact"/>
        <w:jc w:val="center"/>
        <w:rPr>
          <w:rFonts w:ascii="宋体" w:hAnsi="宋体" w:cs="Dotum"/>
          <w:b/>
          <w:sz w:val="32"/>
          <w:szCs w:val="32"/>
        </w:rPr>
      </w:pPr>
      <w:r>
        <w:rPr>
          <w:rFonts w:hint="eastAsia" w:ascii="宋体" w:hAnsi="宋体" w:cs="Dotum"/>
          <w:b/>
          <w:sz w:val="32"/>
          <w:szCs w:val="32"/>
        </w:rPr>
        <w:t>皖江工学院听课记录汇总表</w:t>
      </w:r>
    </w:p>
    <w:p>
      <w:pPr>
        <w:jc w:val="both"/>
        <w:rPr>
          <w:sz w:val="28"/>
          <w:szCs w:val="28"/>
        </w:rPr>
      </w:pPr>
      <w:r>
        <w:rPr>
          <w:rFonts w:hint="eastAsia" w:ascii="宋体" w:hAnsi="宋体"/>
          <w:kern w:val="0"/>
          <w:sz w:val="24"/>
          <w:szCs w:val="24"/>
        </w:rPr>
        <w:t>部门名称（盖章）：                   填表时间：</w:t>
      </w:r>
    </w:p>
    <w:tbl>
      <w:tblPr>
        <w:tblStyle w:val="6"/>
        <w:tblW w:w="87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63"/>
        <w:gridCol w:w="1265"/>
        <w:gridCol w:w="2042"/>
        <w:gridCol w:w="1593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教师姓名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课程名称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总评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听课人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宋体" w:hAnsi="宋体"/>
          <w:kern w:val="0"/>
          <w:sz w:val="24"/>
          <w:szCs w:val="24"/>
        </w:rPr>
        <w:t>填表人：                                部门领导签字：</w:t>
      </w:r>
    </w:p>
    <w:p>
      <w:pPr>
        <w:widowControl/>
        <w:spacing w:line="50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jc w:val="center"/>
      </w:pPr>
    </w:p>
    <w:p>
      <w:pPr>
        <w:widowControl/>
        <w:spacing w:line="500" w:lineRule="exact"/>
        <w:jc w:val="center"/>
        <w:rPr>
          <w:rFonts w:ascii="宋体" w:hAnsi="宋体"/>
          <w:sz w:val="24"/>
          <w:szCs w:val="24"/>
        </w:rPr>
      </w:pPr>
    </w:p>
    <w:p>
      <w:pPr>
        <w:widowControl/>
        <w:spacing w:line="50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附件3：</w:t>
      </w:r>
    </w:p>
    <w:p>
      <w:pPr>
        <w:widowControl/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6"/>
        </w:rPr>
        <w:t>皖江工学院开学实验室自查情况汇总表</w:t>
      </w:r>
    </w:p>
    <w:p>
      <w:pPr>
        <w:widowControl/>
        <w:spacing w:line="500" w:lineRule="exact"/>
        <w:jc w:val="both"/>
        <w:rPr>
          <w:rFonts w:ascii="宋体" w:hAnsi="宋体"/>
          <w:sz w:val="24"/>
          <w:szCs w:val="36"/>
        </w:rPr>
      </w:pPr>
      <w:r>
        <w:rPr>
          <w:rFonts w:hint="eastAsia" w:ascii="宋体" w:hAnsi="宋体"/>
          <w:sz w:val="24"/>
          <w:szCs w:val="36"/>
        </w:rPr>
        <w:t>部门：          （盖章）               填表时间：</w:t>
      </w:r>
    </w:p>
    <w:tbl>
      <w:tblPr>
        <w:tblStyle w:val="5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984"/>
        <w:gridCol w:w="226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实验室名称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专/兼职管理员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检查情况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存在的问题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</w:tbl>
    <w:p>
      <w:pPr>
        <w:widowControl/>
        <w:spacing w:line="500" w:lineRule="exact"/>
      </w:pPr>
      <w:r>
        <w:rPr>
          <w:rFonts w:hint="eastAsia" w:ascii="宋体" w:hAnsi="宋体"/>
          <w:kern w:val="0"/>
          <w:sz w:val="24"/>
          <w:szCs w:val="24"/>
        </w:rPr>
        <w:t>填表人：                             部门领导签字：</w:t>
      </w:r>
    </w:p>
    <w:p>
      <w:pPr>
        <w:widowControl/>
        <w:spacing w:line="500" w:lineRule="exact"/>
        <w:jc w:val="center"/>
      </w:pPr>
    </w:p>
    <w:p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2"/>
        <w:spacing w:line="400" w:lineRule="exact"/>
        <w:ind w:firstLine="640"/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MGIyY2Q0ZjNmZjJmN2ZhYTg4Mzg4Mjg2YmIzNTAifQ=="/>
    <w:docVar w:name="KSO_WPS_MARK_KEY" w:val="a5cb2aef-5f3f-4f08-8cf2-b4ec81103511"/>
  </w:docVars>
  <w:rsids>
    <w:rsidRoot w:val="5EE03446"/>
    <w:rsid w:val="003922C3"/>
    <w:rsid w:val="00987B7B"/>
    <w:rsid w:val="009E1C3E"/>
    <w:rsid w:val="00A91426"/>
    <w:rsid w:val="042250FA"/>
    <w:rsid w:val="05BC4127"/>
    <w:rsid w:val="0B751305"/>
    <w:rsid w:val="0F825B0B"/>
    <w:rsid w:val="10357294"/>
    <w:rsid w:val="12031E3A"/>
    <w:rsid w:val="166C56F8"/>
    <w:rsid w:val="18D734D1"/>
    <w:rsid w:val="1B9C68F3"/>
    <w:rsid w:val="224E37EB"/>
    <w:rsid w:val="23136314"/>
    <w:rsid w:val="242B5884"/>
    <w:rsid w:val="2DA77770"/>
    <w:rsid w:val="3C6E0900"/>
    <w:rsid w:val="3CE52D11"/>
    <w:rsid w:val="3F3D21D6"/>
    <w:rsid w:val="49C70630"/>
    <w:rsid w:val="578850D6"/>
    <w:rsid w:val="5AFD2528"/>
    <w:rsid w:val="5D050F60"/>
    <w:rsid w:val="5E2E67C5"/>
    <w:rsid w:val="5EE03446"/>
    <w:rsid w:val="62D014AB"/>
    <w:rsid w:val="68714C90"/>
    <w:rsid w:val="6A9D13DA"/>
    <w:rsid w:val="71F54DC3"/>
    <w:rsid w:val="7440091B"/>
    <w:rsid w:val="773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1811</Words>
  <Characters>1943</Characters>
  <Lines>18</Lines>
  <Paragraphs>5</Paragraphs>
  <TotalTime>1</TotalTime>
  <ScaleCrop>false</ScaleCrop>
  <LinksUpToDate>false</LinksUpToDate>
  <CharactersWithSpaces>2124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2022-08-24T06:59:00Z</dcterms:created>
  <dc:creator>。</dc:creator>
  <cp:lastModifiedBy>Administrator</cp:lastModifiedBy>
  <cp:lastPrinted>2022-08-24T07:18:00Z</cp:lastPrinted>
  <dcterms:modified xsi:type="dcterms:W3CDTF">2024-02-25T03:17:08Z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5968F439328E46E986760F2BAB143C6E_13</vt:lpwstr>
  </property>
</Properties>
</file>