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comments+xml" PartName="/word/comments.xml"/>
  <Override ContentType="application/vnd.openxmlformats-officedocument.wordprocessingml.commentsExtended+xml" PartName="/word/commentsExtended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Tencent Java 1.8.0_262 on Linux --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40"/>
          <w:szCs w:val="40"/>
        </w:rPr>
      </w:pPr>
      <w:r>
        <w:rPr>
          <w:rFonts w:ascii="黑体" w:hAnsi="黑体" w:eastAsia="黑体"/>
          <w:b w:val="true"/>
          <w:bCs w:val="true"/>
          <w:color w:val="000000"/>
          <w:kern w:val="0"/>
          <w:sz w:val="40"/>
          <w:szCs w:val="40"/>
        </w:rPr>
        <w:t>院务部本周主要工作和活动安排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kern w:val="0"/>
          <w:sz w:val="36"/>
          <w:szCs w:val="36"/>
        </w:rPr>
      </w:pPr>
      <w:r>
        <w:rPr>
          <w:rFonts w:ascii="黑体" w:hAnsi="黑体" w:eastAsia="黑体"/>
          <w:color w:val="000000"/>
          <w:kern w:val="0"/>
          <w:sz w:val="36"/>
          <w:szCs w:val="36"/>
        </w:rPr>
        <w:t>（202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10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25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日-202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年</w:t>
      </w:r>
      <w:r>
        <w:rPr>
          <w:rFonts w:ascii="黑体" w:hAnsi="黑体" w:eastAsia="黑体"/>
          <w:color w:val="000000"/>
          <w:sz w:val="36"/>
          <w:szCs w:val="36"/>
        </w:rPr>
        <w:t>10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月</w:t>
      </w:r>
      <w:r>
        <w:rPr>
          <w:rFonts w:ascii="黑体" w:hAnsi="黑体" w:eastAsia="黑体"/>
          <w:color w:val="000000"/>
          <w:sz w:val="36"/>
          <w:szCs w:val="36"/>
        </w:rPr>
        <w:t>29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日）</w:t>
      </w:r>
    </w:p>
    <w:p>
      <w:pPr>
        <w:snapToGrid w:val="false"/>
        <w:spacing w:before="0" w:after="0" w:line="500" w:lineRule="exact"/>
        <w:ind/>
        <w:jc w:val="center"/>
        <w:rPr>
          <w:rFonts w:ascii="黑体" w:hAnsi="黑体" w:eastAsia="黑体"/>
          <w:color w:val="000000"/>
          <w:sz w:val="36"/>
          <w:szCs w:val="36"/>
        </w:rPr>
      </w:pPr>
      <w:r>
        <w:rPr>
          <w:rFonts w:ascii="黑体" w:hAnsi="黑体" w:eastAsia="黑体"/>
          <w:color w:val="000000"/>
          <w:sz w:val="36"/>
          <w:szCs w:val="36"/>
        </w:rPr>
      </w:r>
    </w:p>
    <w:p>
      <w:pPr>
        <w:snapToGrid w:val="false"/>
        <w:spacing w:before="0" w:after="0" w:line="360" w:lineRule="exact"/>
        <w:ind w:firstLineChars="150"/>
        <w:jc w:val="left"/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</w:pPr>
      <w:r>
        <w:rPr>
          <w:rFonts w:ascii="宋体" w:hAnsi="宋体" w:eastAsia="宋体"/>
          <w:color w:val="000000"/>
          <w:kern w:val="0"/>
          <w:sz w:val="28"/>
          <w:szCs w:val="28"/>
        </w:rPr>
        <w:t xml:space="preserve">  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日期：202</w:t>
      </w:r>
      <w:r>
        <w:rPr>
          <w:rFonts w:ascii="宋体" w:hAnsi="宋体" w:eastAsia="宋体"/>
          <w:color w:val="000000"/>
          <w:sz w:val="32"/>
          <w:szCs w:val="32"/>
        </w:rPr>
        <w:t>1</w:t>
      </w:r>
      <w:r>
        <w:rPr>
          <w:rFonts w:ascii="宋体" w:hAnsi="宋体" w:eastAsia="宋体"/>
          <w:color w:val="000000"/>
          <w:kern w:val="0"/>
          <w:sz w:val="32"/>
          <w:szCs w:val="32"/>
        </w:rPr>
        <w:t>.</w:t>
      </w:r>
      <w:r>
        <w:rPr>
          <w:rFonts w:ascii="宋体" w:hAnsi="宋体" w:eastAsia="宋体"/>
          <w:color w:val="000000"/>
          <w:sz w:val="32"/>
          <w:szCs w:val="32"/>
        </w:rPr>
        <w:t>10.22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                    </w:t>
      </w:r>
      <w:r>
        <w:rPr>
          <w:rFonts w:ascii="宋体" w:hAnsi="宋体" w:eastAsia="宋体"/>
          <w:color w:val="000000"/>
          <w:sz w:val="24"/>
          <w:szCs w:val="24"/>
        </w:rPr>
        <w:t xml:space="preserve">                   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 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202</w:t>
      </w:r>
      <w:r>
        <w:rPr>
          <w:rFonts w:ascii="黑体" w:hAnsi="黑体" w:eastAsia="黑体"/>
          <w:color w:val="000000"/>
          <w:sz w:val="36"/>
          <w:szCs w:val="36"/>
        </w:rPr>
        <w:t>1</w:t>
      </w:r>
      <w:r>
        <w:rPr>
          <w:rFonts w:ascii="黑体" w:hAnsi="黑体" w:eastAsia="黑体"/>
          <w:color w:val="000000"/>
          <w:kern w:val="0"/>
          <w:sz w:val="36"/>
          <w:szCs w:val="36"/>
        </w:rPr>
        <w:t>-202</w:t>
      </w:r>
      <w:r>
        <w:rPr>
          <w:rFonts w:ascii="黑体" w:hAnsi="黑体" w:eastAsia="黑体"/>
          <w:color w:val="000000"/>
          <w:sz w:val="36"/>
          <w:szCs w:val="36"/>
        </w:rPr>
        <w:t>2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学年第一学期</w:t>
      </w:r>
      <w:r>
        <w:rPr>
          <w:rFonts w:ascii="Calibri" w:hAnsi="Calibri" w:eastAsia="Calibri"/>
          <w:b w:val="true"/>
          <w:bCs w:val="true"/>
          <w:color w:val="000000"/>
          <w:kern w:val="0"/>
          <w:sz w:val="32"/>
          <w:szCs w:val="32"/>
        </w:rPr>
        <w:t xml:space="preserve"> </w:t>
      </w:r>
      <w:r>
        <w:rPr>
          <w:rFonts w:ascii="宋体" w:hAnsi="宋体" w:eastAsia="宋体"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第</w:t>
      </w:r>
      <w:r>
        <w:rPr>
          <w:rFonts w:ascii="宋体" w:hAnsi="宋体" w:eastAsia="宋体"/>
          <w:b w:val="true"/>
          <w:bCs w:val="true"/>
          <w:color w:val="000000"/>
          <w:sz w:val="32"/>
          <w:szCs w:val="32"/>
        </w:rPr>
        <w:t>八</w:t>
      </w:r>
      <w:r>
        <w:rPr>
          <w:rFonts w:ascii="宋体" w:hAnsi="宋体" w:eastAsia="宋体"/>
          <w:b w:val="true"/>
          <w:bCs w:val="true"/>
          <w:color w:val="000000"/>
          <w:kern w:val="0"/>
          <w:sz w:val="32"/>
          <w:szCs w:val="32"/>
        </w:rPr>
        <w:t>周</w:t>
      </w:r>
    </w:p>
    <w:tbl>
      <w:tblPr>
        <w:tblStyle w:val="a7"/>
        <w:tblW w:w="0" w:type="auto"/>
        <w:tblInd w:w="0"/>
        <w:tblLayout w:type="fixed"/>
        <w:tblCellMar>
          <w:top w:w="120"/>
          <w:left w:w="60"/>
          <w:bottom w:w="120"/>
          <w:right w:w="60"/>
        </w:tblCellMar>
        <w:tblLook w:firstRow="1" w:lastRow="0" w:firstColumn="1" w:lastColumn="0" w:noHBand="0" w:noVBand="1" w:val="04A0"/>
      </w:tblPr>
      <w:tblGrid>
        <w:gridCol w:w="990"/>
        <w:gridCol w:w="1260"/>
        <w:gridCol w:w="6480"/>
        <w:gridCol w:w="1305"/>
        <w:gridCol w:w="3135"/>
        <w:gridCol w:w="960"/>
      </w:tblGrid>
      <w:tr>
        <w:trPr>
          <w:trHeight w:val="63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序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号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内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容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责任部门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配合部门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备</w:t>
            </w:r>
            <w:r>
              <w:rPr>
                <w:rFonts w:ascii="Calibri" w:hAnsi="Calibri" w:eastAsia="Calibri"/>
                <w:b w:val="true"/>
                <w:bCs w:val="true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eastAsia="宋体"/>
                <w:b w:val="true"/>
                <w:bCs w:val="true"/>
                <w:color w:val="000000"/>
                <w:kern w:val="0"/>
                <w:sz w:val="24"/>
                <w:szCs w:val="24"/>
              </w:rPr>
              <w:t>注</w:t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上报信息公开年度报告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40" w:lineRule="auto"/>
              <w:ind w:left="0" w:right="0"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筹备运动会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64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协助教务部做好学校2021年本科教学状态数据库统计中有关院务部填报内容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555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学校2021教育事业统计霍里山校区数据采集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做好日常收发文、信访来电、会议室管理、用印审批、人员考勤等常规工作和领导交办的其他工作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综合科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制作系统的反诈宣传资料并让辅导员学习推广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起草《皖江工学院非机动车管理办法》规范非机动车管理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 w:firstLineChars="200"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加强与市交通运输执法支队联系整治出租车违规保障学生</w:t>
            </w:r>
          </w:p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出行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 w:firstLineChars="400"/>
              <w:jc w:val="both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文海宾馆消防设施改造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保卫科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已与智慧校园后台技术人员跟进沟通，将学生校园卡过不了门禁，改变绑定手机号等权限移交由服务中心直接处理，解决效率变快。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接待、沟通、处理学生开学工作学习中产生的各类问题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8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帮助学生补办饭卡，修改教务系统密码，处理门禁刷不开，补办学生证考试证，学生宿舍报修等各类服务中心常规服务项目。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大学生一站式服务中心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both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 xml:space="preserve">               2020档案装钉工作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档案科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迎新、教师上课、行政用车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车队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  <w:t>做好日常接待，会务工作</w:t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  <w:tr>
        <w:trPr>
          <w:trHeight w:val="420" w:hRule="atLeast"/>
        </w:trPr>
        <w:tc>
          <w:tcPr>
            <w:tcW w:w="9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本周</w:t>
            </w:r>
          </w:p>
        </w:tc>
        <w:tc>
          <w:tcPr>
            <w:tcW w:w="648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r>
          </w:p>
        </w:tc>
        <w:tc>
          <w:tcPr>
            <w:tcW w:w="13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1" w:lineRule="atLeast"/>
              <w:ind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kern w:val="0"/>
                <w:sz w:val="24"/>
                <w:szCs w:val="24"/>
              </w:rPr>
              <w:t>行政科</w:t>
            </w:r>
          </w:p>
        </w:tc>
        <w:tc>
          <w:tcPr>
            <w:tcW w:w="313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/>
                <w:color w:val="000000"/>
                <w:sz w:val="24"/>
                <w:szCs w:val="24"/>
              </w:rPr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napToGrid w:val="false"/>
              <w:spacing w:before="0" w:after="0" w:line="280" w:lineRule="exact"/>
              <w:ind/>
              <w:jc w:val="center"/>
              <w:rPr>
                <w:rFonts w:ascii="宋体" w:hAnsi="宋体" w:eastAsia="宋体"/>
                <w:color w:val="000000"/>
                <w:sz w:val="2"/>
                <w:szCs w:val="2"/>
              </w:rPr>
            </w:pPr>
            <w:r>
              <w:rPr>
                <w:rFonts w:ascii="宋体" w:hAnsi="宋体" w:eastAsia="宋体"/>
                <w:color w:val="000000"/>
                <w:sz w:val="2"/>
                <w:szCs w:val="2"/>
              </w:rPr>
            </w:r>
          </w:p>
        </w:tc>
      </w:tr>
    </w:tbl>
    <w:sectPr w:rsidR="00C604EC">
      <w:pgSz w:w="16839" w:h="11907"/>
      <w:pgMar w:top="1800" w:right="1440" w:bottom="1800" w:left="1440" w:header="851" w:footer="992" w:gutter="0"/>
      <w:cols w:space="425"/>
      <w:docGrid w:type="lines" w:linePitch="312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commentsExtended.xml><?xml version="1.0" encoding="utf-8"?>
<w15:commentsEx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1" w15:restartNumberingAfterBreak="0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2" w15:restartNumberingAfterBreak="0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3" w15:restartNumberingAfterBreak="0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" w15:restartNumberingAfterBreak="0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5" w15:restartNumberingAfterBreak="0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6" w15:restartNumberingAfterBreak="0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7" w15:restartNumberingAfterBreak="0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8" w15:restartNumberingAfterBreak="0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9" w15:restartNumberingAfterBreak="0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0" w15:restartNumberingAfterBreak="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1" w15:restartNumberingAfterBreak="0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2" w15:restartNumberingAfterBreak="0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3" w15:restartNumberingAfterBreak="0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 w15:restartNumberingAfterBreak="0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 w15:restartNumberingAfterBreak="0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 w15:restartNumberingAfterBreak="0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 w15:restartNumberingAfterBreak="0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 w15:restartNumberingAfterBreak="0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 w15:restartNumberingAfterBreak="0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 w15:restartNumberingAfterBreak="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 w15:restartNumberingAfterBreak="0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 w15:restartNumberingAfterBreak="0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 w15:restartNumberingAfterBreak="0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 w15:restartNumberingAfterBreak="0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 w15:restartNumberingAfterBreak="0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 w15:restartNumberingAfterBreak="0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 w15:restartNumberingAfterBreak="0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 w15:restartNumberingAfterBreak="0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 w15:restartNumberingAfterBreak="0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 w15:restartNumberingAfterBreak="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num w:numId="1">
    <w:abstractNumId w:val="3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16"/>
  </w:num>
  <w:num w:numId="16">
    <w:abstractNumId w:val="17"/>
  </w:num>
  <w:num w:numId="17">
    <w:abstractNumId w:val="18"/>
  </w:num>
  <w:num w:numId="18">
    <w:abstractNumId w:val="19"/>
  </w:num>
  <w:num w:numId="19">
    <w:abstractNumId w:val="20"/>
  </w:num>
  <w:num w:numId="20">
    <w:abstractNumId w:val="21"/>
  </w:num>
  <w:num w:numId="21">
    <w:abstractNumId w:val="22"/>
  </w:num>
  <w:num w:numId="22">
    <w:abstractNumId w:val="23"/>
  </w:num>
  <w:num w:numId="23">
    <w:abstractNumId w:val="24"/>
  </w:num>
  <w:num w:numId="24">
    <w:abstractNumId w:val="25"/>
  </w:num>
  <w:num w:numId="25">
    <w:abstractNumId w:val="26"/>
  </w:num>
  <w:num w:numId="26">
    <w:abstractNumId w:val="27"/>
  </w:num>
  <w:num w:numId="27">
    <w:abstractNumId w:val="28"/>
  </w:num>
  <w:num w:numId="28">
    <w:abstractNumId w:val="29"/>
  </w:num>
  <w:num w:numId="29">
    <w:abstractNumId w:val="1"/>
  </w:num>
  <w:num w:numId="30">
    <w:abstractNumId w:val="2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5:docId w15:val="{20DE070A-6068-41E9-B520-D45B669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semiHidden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<Relationships xmlns="http://schemas.openxmlformats.org/package/2006/relationships"><Relationship Target="theme/theme1.xml" Type="http://schemas.openxmlformats.org/officeDocument/2006/relationships/theme" Id="rId8"/><Relationship Target="numbering.xml" Type="http://schemas.openxmlformats.org/officeDocument/2006/relationships/numbering" Id="rId3"/><Relationship Target="fontTable.xml" Type="http://schemas.openxmlformats.org/officeDocument/2006/relationships/fontTable" Id="rId7"/><Relationship Target="../customXml/item2.xml" Type="http://schemas.openxmlformats.org/officeDocument/2006/relationships/customXml" Id="rId2"/><Relationship Target="../customXml/item1.xml" Type="http://schemas.openxmlformats.org/officeDocument/2006/relationships/customXml" Id="rId1"/><Relationship Target="webSettings.xml" Type="http://schemas.openxmlformats.org/officeDocument/2006/relationships/webSettings" Id="rId6"/><Relationship Target="settings.xml" Type="http://schemas.openxmlformats.org/officeDocument/2006/relationships/settings" Id="rId5"/><Relationship Target="styles.xml" Type="http://schemas.openxmlformats.org/officeDocument/2006/relationships/styles" Id="rId4"/><Relationship Target="comments.xml" Type="http://schemas.openxmlformats.org/officeDocument/2006/relationships/comments" Id="rId9"/><Relationship Target="commentsExtended.xml" Type="http://schemas.microsoft.com/office/2011/relationships/commentsExtended" Id="rId10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_rels/item2.xml.rels><?xml version="1.0" encoding="UTF-8" standalone="yes"?><Relationships xmlns="http://schemas.openxmlformats.org/package/2006/relationships"><Relationship Target="itemProps2.xml" Type="http://schemas.openxmlformats.org/officeDocument/2006/relationships/customXmlProps" Id="rId1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w15="http://schemas.microsoft.com/office/word/2012/wordml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Microsoft</properties:Company>
  <properties:Pages>1</properties:Pages>
  <properties:Words>18</properties:Words>
  <properties:Characters>106</properties:Characters>
  <properties:Lines>1</properties:Lines>
  <properties:Paragraphs>1</properties:Paragraphs>
  <properties:TotalTime>1</properties:TotalTime>
  <properties:ScaleCrop>false</properties:ScaleCrop>
  <properties:LinksUpToDate>false</properties:LinksUpToDate>
  <properties:CharactersWithSpaces>123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2017-01-10T09:10:00Z</dcterms:created>
  <dc:creator>Tencent</dc:creator>
  <cp:lastModifiedBy>Tencent</cp:lastModifiedBy>
  <dcterms:modified xmlns:xsi="http://www.w3.org/2001/XMLSchema-instance" xsi:type="dcterms:W3CDTF">2018-12-10T07:40:00Z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