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40"/>
          <w:szCs w:val="40"/>
        </w:rPr>
      </w:pPr>
      <w:r>
        <w:rPr>
          <w:rFonts w:ascii="黑体" w:hAnsi="黑体" w:eastAsia="黑体"/>
          <w:b/>
          <w:bCs/>
          <w:color w:val="000000"/>
          <w:kern w:val="0"/>
          <w:sz w:val="40"/>
          <w:szCs w:val="40"/>
        </w:rPr>
        <w:t>院务部本周主要工作和活动安排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t>（2020年11月16日-2020年11月20日）</w:t>
      </w:r>
    </w:p>
    <w:p>
      <w:pPr>
        <w:snapToGrid w:val="0"/>
        <w:spacing w:before="0" w:after="0" w:line="5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napToGrid w:val="0"/>
        <w:spacing w:before="0" w:after="0" w:line="360" w:lineRule="exact"/>
        <w:ind w:firstLineChars="150"/>
        <w:jc w:val="left"/>
        <w:rPr>
          <w:rFonts w:ascii="宋体" w:hAnsi="宋体" w:eastAsia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签发人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>: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伍旭坤</w:t>
      </w:r>
      <w:r>
        <w:rPr>
          <w:rFonts w:ascii="Calibri" w:hAnsi="Calibri" w:eastAsia="Calibri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kern w:val="0"/>
          <w:sz w:val="32"/>
          <w:szCs w:val="32"/>
        </w:rPr>
        <w:t>日期：2020.11.16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    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2020-2021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学年第一学期</w:t>
      </w:r>
      <w:r>
        <w:rPr>
          <w:rFonts w:ascii="Calibri" w:hAnsi="Calibri" w:eastAsia="Calibri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color w:val="000000"/>
          <w:kern w:val="0"/>
          <w:sz w:val="32"/>
          <w:szCs w:val="32"/>
        </w:rPr>
        <w:t>第十一周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990"/>
        <w:gridCol w:w="1260"/>
        <w:gridCol w:w="6495"/>
        <w:gridCol w:w="1515"/>
        <w:gridCol w:w="291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序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配合部门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备</w:t>
            </w:r>
            <w:r>
              <w:rPr>
                <w:rFonts w:ascii="Calibri" w:hAnsi="Calibri" w:eastAsia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做好日常收发文、信访来电、会议室管理、用印审批、人员考勤等常规工作和领导交办的其他工作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做好2020年高基统计基础数据报表数据基础校验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45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做好2020年本科数据平台基础数据报表数据录入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做好各部门、各学院领导分工收集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做好校长书记会第五次会议纪要督办单催办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各部门、各学院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进行校史馆资料拍摄统计工作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党务部宣传科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筹备双代会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综合科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各部门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进一步加强外来人员管控工作和学生出入校园管理工作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做好校园巡查和消防安全检查工作，宾馆消防自动报警维修工作。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ind w:firstLineChars="20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处理学生严重违纪行为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学工部、管理学院、土木学院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ind w:firstLineChars="0"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给财经学院全体新生开展《大学生常见的安全问题与防范》为主题讲座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保卫科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财经学院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安排专人值班大学生一站式服务中心官方</w:t>
            </w:r>
            <w:r>
              <w:rPr>
                <w:rFonts w:ascii="Calibri" w:hAnsi="Calibri" w:eastAsia="Calibri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，帮助学生解决各类问题，提供相关服务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安排专人在服务窗口值班，解决并反馈学生问题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1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每周定期统一收集学生遗失的物品（校园卡、学生证、身份证、钥匙等），与相关工作人员的对接，在官方QQ上发布相关的失物认领信息，及时通知遗失物品学生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跟进十月、十一月份所有相关宿舍报修的信息，电话联系报修学生跟进相关宿舍维修的进度，做好与学生和维修师傅的对接</w:t>
            </w:r>
          </w:p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大学生一站式服务中心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在系统里编辑19年档案，做好19年档案编档工作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档案科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各院系实习和行政用车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车队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做好接待和会务工作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</w:t>
            </w:r>
          </w:p>
        </w:tc>
        <w:tc>
          <w:tcPr>
            <w:tcW w:w="6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整理好院务部岗位职责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1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行政科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80" w:lineRule="exact"/>
              <w:jc w:val="center"/>
              <w:rPr>
                <w:rFonts w:ascii="宋体" w:hAnsi="宋体" w:eastAsia="宋体"/>
                <w:color w:val="000000"/>
                <w:sz w:val="2"/>
                <w:szCs w:val="2"/>
              </w:rPr>
            </w:pPr>
          </w:p>
        </w:tc>
      </w:tr>
    </w:tbl>
    <w:p>
      <w:pPr>
        <w:snapToGrid w:val="0"/>
        <w:spacing w:before="0" w:after="0" w:line="240" w:lineRule="auto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</w:rPr>
        <w:t xml:space="preserve"> 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32"/>
          <w:szCs w:val="32"/>
        </w:rPr>
        <w:t>
</w:t>
      </w:r>
    </w:p>
    <w:sectPr>
      <w:headerReference r:id="rId3" w:type="default"/>
      <w:pgSz w:w="16839" w:h="11907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jc w:val="center"/>
      <w:rPr>
        <w:rFonts w:ascii="宋体" w:hAnsi="宋体" w:eastAsia="宋体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4787D3B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2020-11-16T08:38:16Z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